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618" w:rsidRPr="00CB4ACD" w:rsidRDefault="00CE3618" w:rsidP="001B3FD6">
      <w:pPr>
        <w:spacing w:afterLines="100" w:line="560" w:lineRule="exact"/>
        <w:jc w:val="center"/>
        <w:rPr>
          <w:rFonts w:eastAsia="標楷體" w:hAnsi="標楷體" w:hint="eastAsia"/>
          <w:sz w:val="40"/>
          <w:szCs w:val="40"/>
        </w:rPr>
      </w:pPr>
      <w:r w:rsidRPr="00CB4ACD">
        <w:rPr>
          <w:rFonts w:eastAsia="標楷體" w:hAnsi="標楷體" w:hint="eastAsia"/>
          <w:sz w:val="40"/>
          <w:szCs w:val="40"/>
        </w:rPr>
        <w:t>公務人員</w:t>
      </w:r>
      <w:r w:rsidR="00271E2A" w:rsidRPr="00CB4ACD">
        <w:rPr>
          <w:rFonts w:eastAsia="標楷體" w:hAnsi="標楷體" w:hint="eastAsia"/>
          <w:sz w:val="40"/>
          <w:szCs w:val="40"/>
        </w:rPr>
        <w:t>退休</w:t>
      </w:r>
      <w:r w:rsidRPr="00CB4ACD">
        <w:rPr>
          <w:rFonts w:eastAsia="標楷體" w:hAnsi="標楷體" w:hint="eastAsia"/>
          <w:sz w:val="40"/>
          <w:szCs w:val="40"/>
        </w:rPr>
        <w:t>法施行細則</w:t>
      </w:r>
      <w:r w:rsidR="00271E2A" w:rsidRPr="00CB4ACD">
        <w:rPr>
          <w:rFonts w:eastAsia="標楷體" w:hAnsi="標楷體" w:hint="eastAsia"/>
          <w:sz w:val="40"/>
          <w:szCs w:val="40"/>
        </w:rPr>
        <w:t>部分</w:t>
      </w:r>
      <w:r w:rsidR="00D43EB8" w:rsidRPr="00CB4ACD">
        <w:rPr>
          <w:rFonts w:eastAsia="標楷體" w:hAnsi="標楷體" w:hint="eastAsia"/>
          <w:sz w:val="40"/>
          <w:szCs w:val="40"/>
        </w:rPr>
        <w:t>條文</w:t>
      </w:r>
      <w:r w:rsidRPr="00CB4ACD">
        <w:rPr>
          <w:rFonts w:eastAsia="標楷體" w:hAnsi="標楷體" w:hint="eastAsia"/>
          <w:sz w:val="40"/>
          <w:szCs w:val="40"/>
        </w:rPr>
        <w:t>修正條文</w:t>
      </w:r>
    </w:p>
    <w:tbl>
      <w:tblPr>
        <w:tblW w:w="9496" w:type="dxa"/>
        <w:tblInd w:w="-34" w:type="dxa"/>
        <w:tblLook w:val="04A0"/>
      </w:tblPr>
      <w:tblGrid>
        <w:gridCol w:w="1843"/>
        <w:gridCol w:w="7653"/>
      </w:tblGrid>
      <w:tr w:rsidR="00583B5D" w:rsidRPr="00CB4ACD">
        <w:tc>
          <w:tcPr>
            <w:tcW w:w="1843" w:type="dxa"/>
          </w:tcPr>
          <w:p w:rsidR="00583B5D" w:rsidRPr="00CB4ACD" w:rsidRDefault="00583B5D" w:rsidP="001D7B56">
            <w:pPr>
              <w:pStyle w:val="af0"/>
              <w:spacing w:line="560" w:lineRule="exact"/>
              <w:ind w:left="320" w:hanging="320"/>
              <w:jc w:val="distribute"/>
              <w:rPr>
                <w:rFonts w:hint="eastAsia"/>
                <w:sz w:val="32"/>
                <w:szCs w:val="32"/>
              </w:rPr>
            </w:pPr>
            <w:r w:rsidRPr="00CB4ACD">
              <w:rPr>
                <w:rFonts w:hint="eastAsia"/>
                <w:sz w:val="32"/>
                <w:szCs w:val="32"/>
              </w:rPr>
              <w:t>第七條</w:t>
            </w:r>
          </w:p>
        </w:tc>
        <w:tc>
          <w:tcPr>
            <w:tcW w:w="7653" w:type="dxa"/>
            <w:shd w:val="clear" w:color="auto" w:fill="auto"/>
          </w:tcPr>
          <w:p w:rsidR="00583B5D" w:rsidRPr="00CB4ACD" w:rsidRDefault="00583B5D" w:rsidP="001B3FD6">
            <w:pPr>
              <w:pStyle w:val="af0"/>
              <w:spacing w:line="560" w:lineRule="exact"/>
              <w:ind w:left="0" w:firstLineChars="200" w:firstLine="640"/>
              <w:rPr>
                <w:sz w:val="32"/>
                <w:szCs w:val="32"/>
              </w:rPr>
            </w:pPr>
            <w:r w:rsidRPr="00CB4ACD">
              <w:rPr>
                <w:rFonts w:hint="eastAsia"/>
                <w:sz w:val="32"/>
                <w:szCs w:val="32"/>
              </w:rPr>
              <w:t>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583B5D" w:rsidRPr="00CB4ACD" w:rsidRDefault="00583B5D" w:rsidP="003958CF">
            <w:pPr>
              <w:pStyle w:val="af1"/>
              <w:spacing w:line="560" w:lineRule="exact"/>
              <w:ind w:leftChars="14" w:left="34" w:firstLine="640"/>
              <w:rPr>
                <w:sz w:val="32"/>
                <w:szCs w:val="32"/>
              </w:rPr>
            </w:pPr>
            <w:r w:rsidRPr="00CB4ACD">
              <w:rPr>
                <w:rFonts w:hint="eastAsia"/>
                <w:sz w:val="32"/>
                <w:szCs w:val="32"/>
              </w:rPr>
              <w:t>本法第七條第一項第三款所稱經中央衛生主管機關評鑑合格醫院證明身心衰弱，致不堪勝任職務者，指經該醫院出具已達公教人員保險失能給付標準所定部分失能以上證明，且由服務機關證明其不堪勝任現職。</w:t>
            </w:r>
          </w:p>
        </w:tc>
      </w:tr>
      <w:tr w:rsidR="00583B5D" w:rsidRPr="00CB4ACD">
        <w:tc>
          <w:tcPr>
            <w:tcW w:w="1843" w:type="dxa"/>
          </w:tcPr>
          <w:p w:rsidR="00583B5D" w:rsidRPr="00CB4ACD" w:rsidRDefault="001B3FD6" w:rsidP="001D7B56">
            <w:pPr>
              <w:pStyle w:val="af0"/>
              <w:spacing w:line="560" w:lineRule="exact"/>
              <w:ind w:left="320" w:hanging="320"/>
              <w:jc w:val="distribute"/>
              <w:rPr>
                <w:rFonts w:hint="eastAsia"/>
                <w:sz w:val="32"/>
                <w:szCs w:val="32"/>
              </w:rPr>
            </w:pPr>
            <w:r w:rsidRPr="00CB4ACD">
              <w:rPr>
                <w:rFonts w:hint="eastAsia"/>
                <w:sz w:val="32"/>
                <w:szCs w:val="32"/>
              </w:rPr>
              <w:t>第十八條</w:t>
            </w:r>
          </w:p>
        </w:tc>
        <w:tc>
          <w:tcPr>
            <w:tcW w:w="7653" w:type="dxa"/>
            <w:shd w:val="clear" w:color="auto" w:fill="auto"/>
          </w:tcPr>
          <w:p w:rsidR="00583B5D" w:rsidRPr="00CB4ACD" w:rsidRDefault="00583B5D" w:rsidP="001B3FD6">
            <w:pPr>
              <w:pStyle w:val="af0"/>
              <w:spacing w:line="560" w:lineRule="exact"/>
              <w:ind w:left="0" w:firstLineChars="200" w:firstLine="640"/>
              <w:rPr>
                <w:sz w:val="32"/>
                <w:szCs w:val="32"/>
              </w:rPr>
            </w:pPr>
            <w:r w:rsidRPr="00CB4ACD">
              <w:rPr>
                <w:rFonts w:hint="eastAsia"/>
                <w:sz w:val="32"/>
                <w:szCs w:val="32"/>
              </w:rPr>
              <w:t>公務人員執行職務發生危險致身心障礙者，依本法第十三條第二項規定加發退休金之標準如下：</w:t>
            </w:r>
          </w:p>
          <w:p w:rsidR="00583B5D" w:rsidRPr="00CB4ACD" w:rsidRDefault="00583B5D" w:rsidP="008A6816">
            <w:pPr>
              <w:pStyle w:val="af2"/>
              <w:tabs>
                <w:tab w:val="left" w:pos="316"/>
              </w:tabs>
              <w:spacing w:line="560" w:lineRule="exact"/>
              <w:ind w:leftChars="266" w:left="1310" w:hanging="672"/>
              <w:rPr>
                <w:sz w:val="32"/>
                <w:szCs w:val="32"/>
                <w:u w:val="none"/>
              </w:rPr>
            </w:pPr>
            <w:r w:rsidRPr="00CB4ACD">
              <w:rPr>
                <w:rFonts w:hint="eastAsia"/>
                <w:sz w:val="32"/>
                <w:szCs w:val="32"/>
                <w:u w:val="none"/>
              </w:rPr>
              <w:t>一、全失能致全身癱瘓或致日常生活無法自理者：加發十五個基數之一次退休金。</w:t>
            </w:r>
          </w:p>
          <w:p w:rsidR="00583B5D" w:rsidRPr="00CB4ACD" w:rsidRDefault="00583B5D" w:rsidP="008A6816">
            <w:pPr>
              <w:pStyle w:val="af2"/>
              <w:spacing w:line="560" w:lineRule="exact"/>
              <w:ind w:leftChars="266" w:left="1310" w:hanging="672"/>
              <w:rPr>
                <w:sz w:val="32"/>
                <w:szCs w:val="32"/>
                <w:u w:val="none"/>
              </w:rPr>
            </w:pPr>
            <w:r w:rsidRPr="00CB4ACD">
              <w:rPr>
                <w:rFonts w:hint="eastAsia"/>
                <w:sz w:val="32"/>
                <w:szCs w:val="32"/>
                <w:u w:val="none"/>
              </w:rPr>
              <w:t>二、全失能且日常生活尚能自理者：加發十個基數之一次退休金。</w:t>
            </w:r>
          </w:p>
          <w:p w:rsidR="00583B5D" w:rsidRPr="00CB4ACD" w:rsidRDefault="00583B5D" w:rsidP="008A6816">
            <w:pPr>
              <w:pStyle w:val="af2"/>
              <w:spacing w:line="560" w:lineRule="exact"/>
              <w:ind w:leftChars="266" w:left="1310" w:hanging="672"/>
              <w:rPr>
                <w:sz w:val="32"/>
                <w:szCs w:val="32"/>
                <w:u w:val="none"/>
              </w:rPr>
            </w:pPr>
            <w:r w:rsidRPr="00CB4ACD">
              <w:rPr>
                <w:rFonts w:hint="eastAsia"/>
                <w:sz w:val="32"/>
                <w:szCs w:val="32"/>
                <w:u w:val="none"/>
              </w:rPr>
              <w:t>三、半失能者：加發五個基數之一次退休金。</w:t>
            </w:r>
          </w:p>
          <w:p w:rsidR="00583B5D" w:rsidRPr="00CB4ACD" w:rsidRDefault="00583B5D" w:rsidP="001B3FD6">
            <w:pPr>
              <w:pStyle w:val="af1"/>
              <w:spacing w:line="560" w:lineRule="exact"/>
              <w:ind w:firstLine="640"/>
              <w:rPr>
                <w:sz w:val="32"/>
                <w:szCs w:val="32"/>
              </w:rPr>
            </w:pPr>
            <w:r w:rsidRPr="00CB4ACD">
              <w:rPr>
                <w:rFonts w:hint="eastAsia"/>
                <w:sz w:val="32"/>
                <w:szCs w:val="32"/>
              </w:rPr>
              <w:t>前項失能等級之認定證明，由中央衛生主管機關評鑑合格醫院依公教人員保險失能給付標準附表出具之。</w:t>
            </w:r>
          </w:p>
        </w:tc>
      </w:tr>
      <w:tr w:rsidR="00583B5D" w:rsidRPr="00CB4ACD">
        <w:tc>
          <w:tcPr>
            <w:tcW w:w="1843" w:type="dxa"/>
          </w:tcPr>
          <w:p w:rsidR="00583B5D" w:rsidRPr="00CB4ACD" w:rsidRDefault="001D7B56" w:rsidP="001D7B56">
            <w:pPr>
              <w:pStyle w:val="af0"/>
              <w:spacing w:line="560" w:lineRule="exact"/>
              <w:ind w:left="320" w:hanging="320"/>
              <w:jc w:val="distribute"/>
              <w:rPr>
                <w:rFonts w:hint="eastAsia"/>
                <w:sz w:val="32"/>
                <w:szCs w:val="32"/>
              </w:rPr>
            </w:pPr>
            <w:r w:rsidRPr="00CB4ACD">
              <w:rPr>
                <w:rFonts w:hint="eastAsia"/>
                <w:sz w:val="32"/>
                <w:szCs w:val="32"/>
              </w:rPr>
              <w:t>第十九條</w:t>
            </w:r>
          </w:p>
        </w:tc>
        <w:tc>
          <w:tcPr>
            <w:tcW w:w="7653" w:type="dxa"/>
            <w:shd w:val="clear" w:color="auto" w:fill="auto"/>
          </w:tcPr>
          <w:p w:rsidR="00583B5D" w:rsidRPr="00CB4ACD" w:rsidRDefault="00583B5D" w:rsidP="0097492A">
            <w:pPr>
              <w:pStyle w:val="af0"/>
              <w:spacing w:line="560" w:lineRule="exact"/>
              <w:ind w:left="0" w:firstLineChars="100" w:firstLine="320"/>
              <w:rPr>
                <w:sz w:val="32"/>
                <w:szCs w:val="32"/>
              </w:rPr>
            </w:pPr>
            <w:r w:rsidRPr="00CB4ACD">
              <w:rPr>
                <w:rFonts w:hint="eastAsia"/>
                <w:sz w:val="32"/>
                <w:szCs w:val="32"/>
              </w:rPr>
              <w:t>公務人員依本法第十四條第二項規定繳付之公務人</w:t>
            </w:r>
            <w:r w:rsidRPr="00CB4ACD">
              <w:rPr>
                <w:rFonts w:hint="eastAsia"/>
                <w:sz w:val="32"/>
                <w:szCs w:val="32"/>
              </w:rPr>
              <w:lastRenderedPageBreak/>
              <w:t>員退休撫卹基金（以下簡稱退撫基金），應由服務機關於每月發薪時扣收，並即彙繳公務人員退休撫卹基金管理委員會（以下簡稱基金管理會）。</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公務人員繳付退撫基金費用五年以上，於任職期間涉違法或失職行為而於權責機關依法追究其行政責任確定前離職者，其申請發還退撫基金費用應依下列規定辦理：</w:t>
            </w:r>
          </w:p>
          <w:p w:rsidR="00583B5D" w:rsidRPr="00CB4ACD" w:rsidRDefault="00583B5D" w:rsidP="009F2259">
            <w:pPr>
              <w:pStyle w:val="af2"/>
              <w:spacing w:line="560" w:lineRule="exact"/>
              <w:ind w:leftChars="297" w:left="1340" w:hangingChars="196" w:hanging="627"/>
              <w:rPr>
                <w:sz w:val="32"/>
                <w:szCs w:val="32"/>
                <w:u w:val="none"/>
              </w:rPr>
            </w:pPr>
            <w:r w:rsidRPr="00CB4ACD">
              <w:rPr>
                <w:rFonts w:hint="eastAsia"/>
                <w:sz w:val="32"/>
                <w:szCs w:val="32"/>
                <w:u w:val="none"/>
              </w:rPr>
              <w:t>一</w:t>
            </w:r>
            <w:r w:rsidRPr="00CB4ACD">
              <w:rPr>
                <w:rFonts w:ascii="新細明體" w:eastAsia="新細明體" w:hint="eastAsia"/>
                <w:sz w:val="32"/>
                <w:szCs w:val="32"/>
                <w:u w:val="none"/>
              </w:rPr>
              <w:t>、</w:t>
            </w:r>
            <w:r w:rsidRPr="00CB4ACD">
              <w:rPr>
                <w:rFonts w:hint="eastAsia"/>
                <w:sz w:val="32"/>
                <w:szCs w:val="32"/>
                <w:u w:val="none"/>
              </w:rPr>
              <w:t>所涉違法或失職行為確定未受免職、撤職或免除職務處分者，得依本法第十四條第六項後段規定，併同申請一次發給政府撥繳之退撫基金費用本息，並自確定之日起算請求權時效。</w:t>
            </w:r>
          </w:p>
          <w:p w:rsidR="00583B5D" w:rsidRPr="00CB4ACD" w:rsidRDefault="00583B5D" w:rsidP="009F2259">
            <w:pPr>
              <w:pStyle w:val="af2"/>
              <w:spacing w:line="560" w:lineRule="exact"/>
              <w:ind w:leftChars="297" w:left="1340" w:hangingChars="196" w:hanging="627"/>
              <w:rPr>
                <w:sz w:val="32"/>
                <w:szCs w:val="32"/>
                <w:u w:val="none"/>
              </w:rPr>
            </w:pPr>
            <w:r w:rsidRPr="00CB4ACD">
              <w:rPr>
                <w:rFonts w:hint="eastAsia"/>
                <w:sz w:val="32"/>
                <w:szCs w:val="32"/>
                <w:u w:val="none"/>
              </w:rPr>
              <w:t>二、所涉違法或失職行為已符相關法律所定應予免職、撤職或免除職務條件而其權責機關無法逕予免職、撤職或免除職務者，不得併同申請發給政府撥繳之退撫基金費用本息。</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公務人員配合公務辦理留職停薪，借調至其他公務機關，占該機關職缺並依公務人員俸給法令支薪者，應按銓敍審定之官職等級，自借調之日起，於借</w:t>
            </w:r>
            <w:r w:rsidRPr="00CB4ACD">
              <w:rPr>
                <w:rFonts w:hint="eastAsia"/>
                <w:sz w:val="32"/>
                <w:szCs w:val="32"/>
              </w:rPr>
              <w:lastRenderedPageBreak/>
              <w:t>調機關比照本法第十四條第四項規定之撥繳比例，按月繳付退撫基金費用，始得併計其任職年資。</w:t>
            </w:r>
          </w:p>
          <w:p w:rsidR="00583B5D" w:rsidRPr="00CB4ACD" w:rsidRDefault="00583B5D" w:rsidP="0097492A">
            <w:pPr>
              <w:pStyle w:val="af1"/>
              <w:spacing w:line="560" w:lineRule="exact"/>
              <w:ind w:leftChars="0" w:left="0" w:firstLine="640"/>
              <w:rPr>
                <w:sz w:val="32"/>
                <w:szCs w:val="32"/>
              </w:rPr>
            </w:pPr>
            <w:r w:rsidRPr="00CB4ACD">
              <w:rPr>
                <w:rFonts w:ascii="標楷體" w:hAnsi="標楷體" w:hint="eastAsia"/>
                <w:sz w:val="32"/>
                <w:szCs w:val="32"/>
              </w:rPr>
              <w:t>公務人員撥繳退撫基金費用滿四十年者，如未選擇繼續繳納退撫基金費用，依本法第十五條第一項規定，不得採計為退休年資。</w:t>
            </w:r>
          </w:p>
        </w:tc>
      </w:tr>
      <w:tr w:rsidR="00583B5D" w:rsidRPr="00CB4ACD">
        <w:tc>
          <w:tcPr>
            <w:tcW w:w="1843" w:type="dxa"/>
          </w:tcPr>
          <w:p w:rsidR="00583B5D" w:rsidRPr="00CB4ACD" w:rsidRDefault="000D1243" w:rsidP="001D7B56">
            <w:pPr>
              <w:pStyle w:val="af0"/>
              <w:spacing w:line="560" w:lineRule="exact"/>
              <w:ind w:left="320" w:hanging="320"/>
              <w:jc w:val="distribute"/>
              <w:rPr>
                <w:rFonts w:hint="eastAsia"/>
                <w:sz w:val="32"/>
                <w:szCs w:val="32"/>
              </w:rPr>
            </w:pPr>
            <w:r w:rsidRPr="00CB4ACD">
              <w:rPr>
                <w:rFonts w:hint="eastAsia"/>
                <w:sz w:val="32"/>
                <w:szCs w:val="32"/>
              </w:rPr>
              <w:lastRenderedPageBreak/>
              <w:t>第二十一條</w:t>
            </w:r>
          </w:p>
        </w:tc>
        <w:tc>
          <w:tcPr>
            <w:tcW w:w="7653" w:type="dxa"/>
            <w:shd w:val="clear" w:color="auto" w:fill="auto"/>
          </w:tcPr>
          <w:p w:rsidR="00583B5D" w:rsidRPr="00CB4ACD" w:rsidRDefault="00583B5D" w:rsidP="0097492A">
            <w:pPr>
              <w:pStyle w:val="af0"/>
              <w:spacing w:line="560" w:lineRule="exact"/>
              <w:ind w:left="0" w:firstLineChars="200" w:firstLine="640"/>
              <w:rPr>
                <w:sz w:val="32"/>
                <w:szCs w:val="32"/>
              </w:rPr>
            </w:pPr>
            <w:r w:rsidRPr="00CB4ACD">
              <w:rPr>
                <w:rFonts w:hint="eastAsia"/>
                <w:sz w:val="32"/>
                <w:szCs w:val="32"/>
              </w:rPr>
              <w:t>依本法第十五條第三項規定，在退撫新制實施後得予併計之其他公職年資及本法第三十一條第一項規定，在退撫新制實施前得予併計之年資如下：</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一、曾任編制內有給專任且符合第二條第一項規定之公務人員。</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二、曾任編制內有給專任之軍用文職年資，經銓敍部登記有案，或經國防部或其他權責機關覈實出具證明者。</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三、曾任志願役軍職年資，經國防部或其他權責機關覈實出具證明者。</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四、曾任編制內雇員、同委任及委任或比照警佐待遇警察人員年資，經原服務機關覈實出具證明者。</w:t>
            </w:r>
          </w:p>
          <w:p w:rsidR="00583B5D" w:rsidRPr="00CB4ACD" w:rsidRDefault="00583B5D" w:rsidP="00AF445F">
            <w:pPr>
              <w:pStyle w:val="af0"/>
              <w:spacing w:line="560" w:lineRule="exact"/>
              <w:ind w:leftChars="270" w:left="1310" w:hangingChars="207" w:hanging="662"/>
              <w:rPr>
                <w:sz w:val="32"/>
                <w:szCs w:val="32"/>
              </w:rPr>
            </w:pPr>
            <w:r w:rsidRPr="00CB4ACD">
              <w:rPr>
                <w:rFonts w:hint="eastAsia"/>
                <w:sz w:val="32"/>
                <w:szCs w:val="32"/>
              </w:rPr>
              <w:t>五、曾任公立學校編制內有給專任且符合教育人員任用條例規定之教職員，經原服務學校覈實出具證明者。</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六、曾任公營事業具公務員身分之編制內有給專任職員，經原服務機構覈實出具證明者。</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七、其他曾經銓敍部核定得以併計之年資。</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lastRenderedPageBreak/>
              <w:t>前項各款得予併計之年資，以未曾領取退休（職、伍）金、資遣給與、離職退費或年資結算給與等退離給與者為限。</w:t>
            </w:r>
          </w:p>
          <w:p w:rsidR="00583B5D" w:rsidRPr="00CB4ACD" w:rsidRDefault="00583B5D" w:rsidP="004A2643">
            <w:pPr>
              <w:pStyle w:val="af1"/>
              <w:spacing w:line="560" w:lineRule="exact"/>
              <w:ind w:leftChars="0" w:left="0" w:firstLine="640"/>
              <w:rPr>
                <w:sz w:val="32"/>
                <w:szCs w:val="32"/>
              </w:rPr>
            </w:pPr>
            <w:r w:rsidRPr="00CB4ACD">
              <w:rPr>
                <w:rFonts w:hint="eastAsia"/>
                <w:sz w:val="32"/>
                <w:szCs w:val="32"/>
              </w:rPr>
              <w:t>本法第十七條第二項所稱其他公職人員，指曾任依聘用人員聘用條例、行政院暨所屬機關約僱人員僱用辦法、國軍聘用及雇用人員管理作業要點進用，或依各主管機關所訂單行規章聘（僱）用之人員。</w:t>
            </w:r>
          </w:p>
          <w:p w:rsidR="00583B5D" w:rsidRPr="00CB4ACD" w:rsidRDefault="00583B5D" w:rsidP="00F14A3B">
            <w:pPr>
              <w:pStyle w:val="af1"/>
              <w:spacing w:line="560" w:lineRule="exact"/>
              <w:ind w:leftChars="0" w:left="0" w:firstLine="640"/>
              <w:rPr>
                <w:sz w:val="32"/>
                <w:szCs w:val="32"/>
              </w:rPr>
            </w:pPr>
            <w:r w:rsidRPr="00CB4ACD">
              <w:rPr>
                <w:rFonts w:hint="eastAsia"/>
                <w:sz w:val="32"/>
                <w:szCs w:val="32"/>
              </w:rPr>
              <w:t>重行退休人員依本法第十七條第三項規定擇領或兼領月退休金時，應分別適用本法第十條至第十二條所定月退休金起支條件。</w:t>
            </w:r>
          </w:p>
          <w:p w:rsidR="00583B5D" w:rsidRPr="00CB4ACD" w:rsidRDefault="00583B5D" w:rsidP="00F14A3B">
            <w:pPr>
              <w:pStyle w:val="af1"/>
              <w:spacing w:line="560" w:lineRule="exact"/>
              <w:ind w:leftChars="0" w:left="0" w:firstLine="640"/>
              <w:rPr>
                <w:sz w:val="32"/>
                <w:szCs w:val="32"/>
              </w:rPr>
            </w:pPr>
            <w:r w:rsidRPr="00CB4ACD">
              <w:rPr>
                <w:rFonts w:hint="eastAsia"/>
                <w:sz w:val="32"/>
                <w:szCs w:val="32"/>
              </w:rPr>
              <w:t>本法第二十一條第一項第二款至第五款人員，依同條第二項規定，以其原因消滅次日為退休生效日，向原服務機關申請辦理退休時，其自應屆齡退休之至遲生效日至上開實際辦理退休生效日前一日止之年資，依本法第五條規定，不得採計為公務人員退休年資。</w:t>
            </w:r>
          </w:p>
        </w:tc>
      </w:tr>
      <w:tr w:rsidR="00583B5D" w:rsidRPr="00CB4ACD">
        <w:tc>
          <w:tcPr>
            <w:tcW w:w="1843" w:type="dxa"/>
          </w:tcPr>
          <w:p w:rsidR="00583B5D" w:rsidRPr="00CB4ACD" w:rsidRDefault="005A136B" w:rsidP="001D7B56">
            <w:pPr>
              <w:pStyle w:val="af0"/>
              <w:spacing w:line="560" w:lineRule="exact"/>
              <w:ind w:left="320" w:hanging="320"/>
              <w:jc w:val="distribute"/>
              <w:rPr>
                <w:rFonts w:hint="eastAsia"/>
                <w:sz w:val="32"/>
                <w:szCs w:val="32"/>
              </w:rPr>
            </w:pPr>
            <w:r w:rsidRPr="00CB4ACD">
              <w:rPr>
                <w:rFonts w:hint="eastAsia"/>
                <w:sz w:val="32"/>
                <w:szCs w:val="32"/>
              </w:rPr>
              <w:lastRenderedPageBreak/>
              <w:t>第二十二條</w:t>
            </w:r>
          </w:p>
        </w:tc>
        <w:tc>
          <w:tcPr>
            <w:tcW w:w="7653" w:type="dxa"/>
            <w:shd w:val="clear" w:color="auto" w:fill="auto"/>
          </w:tcPr>
          <w:p w:rsidR="00583B5D" w:rsidRPr="00CB4ACD" w:rsidRDefault="00583B5D" w:rsidP="0097492A">
            <w:pPr>
              <w:pStyle w:val="af0"/>
              <w:spacing w:line="560" w:lineRule="exact"/>
              <w:ind w:left="0" w:firstLineChars="200" w:firstLine="640"/>
              <w:rPr>
                <w:sz w:val="32"/>
                <w:szCs w:val="32"/>
              </w:rPr>
            </w:pPr>
            <w:r w:rsidRPr="00CB4ACD">
              <w:rPr>
                <w:rFonts w:hint="eastAsia"/>
                <w:sz w:val="32"/>
                <w:szCs w:val="32"/>
              </w:rPr>
              <w:t>依本法第三十條第二項規定加發之一次補償金或月補償金及依同條第三項規定加發之一次補償金，均依附表二規定計算之。</w:t>
            </w:r>
          </w:p>
          <w:p w:rsidR="00583B5D" w:rsidRPr="00CB4ACD" w:rsidRDefault="00583B5D" w:rsidP="00F14A3B">
            <w:pPr>
              <w:pStyle w:val="af1"/>
              <w:spacing w:line="560" w:lineRule="exact"/>
              <w:ind w:leftChars="0" w:left="0" w:firstLine="640"/>
              <w:rPr>
                <w:sz w:val="32"/>
                <w:szCs w:val="32"/>
              </w:rPr>
            </w:pPr>
            <w:r w:rsidRPr="00CB4ACD">
              <w:rPr>
                <w:rFonts w:hint="eastAsia"/>
                <w:sz w:val="32"/>
                <w:szCs w:val="32"/>
              </w:rPr>
              <w:t>兼領一次退休金與月退休金人員，依前項規定加發之補償金標準，按其兼領比例計算之。</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曾支領政府編列預算支付退休（職</w:t>
            </w:r>
            <w:r w:rsidRPr="00CB4ACD">
              <w:rPr>
                <w:rFonts w:ascii="新細明體" w:eastAsia="新細明體" w:hAnsi="新細明體" w:hint="eastAsia"/>
                <w:sz w:val="32"/>
                <w:szCs w:val="32"/>
              </w:rPr>
              <w:t>、</w:t>
            </w:r>
            <w:r w:rsidRPr="00CB4ACD">
              <w:rPr>
                <w:rFonts w:hint="eastAsia"/>
                <w:sz w:val="32"/>
                <w:szCs w:val="32"/>
              </w:rPr>
              <w:t>伍）金</w:t>
            </w:r>
            <w:r w:rsidRPr="00CB4ACD">
              <w:rPr>
                <w:rFonts w:ascii="新細明體" w:eastAsia="新細明體" w:hAnsi="新細明體" w:hint="eastAsia"/>
                <w:sz w:val="32"/>
                <w:szCs w:val="32"/>
              </w:rPr>
              <w:t>、</w:t>
            </w:r>
            <w:r w:rsidRPr="00CB4ACD">
              <w:rPr>
                <w:rFonts w:hint="eastAsia"/>
                <w:sz w:val="32"/>
                <w:szCs w:val="32"/>
              </w:rPr>
              <w:t>資遣給與</w:t>
            </w:r>
            <w:r w:rsidRPr="00CB4ACD">
              <w:rPr>
                <w:rFonts w:ascii="新細明體" w:eastAsia="新細明體" w:hAnsi="新細明體" w:hint="eastAsia"/>
                <w:sz w:val="32"/>
                <w:szCs w:val="32"/>
              </w:rPr>
              <w:t>、</w:t>
            </w:r>
            <w:r w:rsidRPr="00CB4ACD">
              <w:rPr>
                <w:rFonts w:hint="eastAsia"/>
                <w:sz w:val="32"/>
                <w:szCs w:val="32"/>
              </w:rPr>
              <w:t>離（免）職退費或年資結算給與者，於重行退休時，其已領取給與之年資，應與重行退休審定之</w:t>
            </w:r>
            <w:r w:rsidRPr="00CB4ACD">
              <w:rPr>
                <w:rFonts w:hint="eastAsia"/>
                <w:sz w:val="32"/>
                <w:szCs w:val="32"/>
              </w:rPr>
              <w:lastRenderedPageBreak/>
              <w:t>年資合併計算，依本法第三十條第二項及第三項規定，發給補償金</w:t>
            </w:r>
            <w:r w:rsidRPr="00CB4ACD">
              <w:rPr>
                <w:rFonts w:ascii="新細明體" w:eastAsia="新細明體" w:hAnsi="新細明體" w:hint="eastAsia"/>
                <w:sz w:val="32"/>
                <w:szCs w:val="32"/>
              </w:rPr>
              <w:t>。</w:t>
            </w:r>
          </w:p>
        </w:tc>
      </w:tr>
      <w:tr w:rsidR="00583B5D" w:rsidRPr="00CB4ACD">
        <w:tc>
          <w:tcPr>
            <w:tcW w:w="1843" w:type="dxa"/>
          </w:tcPr>
          <w:p w:rsidR="00583B5D" w:rsidRPr="00CB4ACD" w:rsidRDefault="00F14A3B" w:rsidP="001D7B56">
            <w:pPr>
              <w:pStyle w:val="af0"/>
              <w:spacing w:line="560" w:lineRule="exact"/>
              <w:ind w:left="320" w:hanging="320"/>
              <w:jc w:val="distribute"/>
              <w:rPr>
                <w:rFonts w:hint="eastAsia"/>
                <w:sz w:val="32"/>
                <w:szCs w:val="32"/>
              </w:rPr>
            </w:pPr>
            <w:r w:rsidRPr="00CB4ACD">
              <w:rPr>
                <w:rFonts w:hint="eastAsia"/>
                <w:sz w:val="32"/>
                <w:szCs w:val="32"/>
              </w:rPr>
              <w:lastRenderedPageBreak/>
              <w:t>第二十七條</w:t>
            </w:r>
          </w:p>
        </w:tc>
        <w:tc>
          <w:tcPr>
            <w:tcW w:w="7653" w:type="dxa"/>
            <w:shd w:val="clear" w:color="auto" w:fill="auto"/>
          </w:tcPr>
          <w:p w:rsidR="00583B5D" w:rsidRPr="00CB4ACD" w:rsidRDefault="00583B5D" w:rsidP="0097492A">
            <w:pPr>
              <w:pStyle w:val="af0"/>
              <w:spacing w:line="560" w:lineRule="exact"/>
              <w:ind w:left="0" w:firstLineChars="200" w:firstLine="640"/>
              <w:rPr>
                <w:sz w:val="32"/>
                <w:szCs w:val="32"/>
              </w:rPr>
            </w:pPr>
            <w:r w:rsidRPr="00CB4ACD">
              <w:rPr>
                <w:rFonts w:hint="eastAsia"/>
                <w:sz w:val="32"/>
                <w:szCs w:val="32"/>
              </w:rPr>
              <w:t>服務機關對於擬依本法第七條第一項第二款至第四款辦理資遣者，應先經考績委員會初核、機關首長覆核後，再送請主管機關核定。</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本法第七條第四項所稱由該機關檢齊有關證明文件函轉銓敍部審定其年資及給與，指各主管機關於核定資遣案後，應製發資遣令，並將資遣事實表及相關文件</w:t>
            </w:r>
            <w:r w:rsidRPr="00CB4ACD">
              <w:rPr>
                <w:rFonts w:ascii="新細明體" w:eastAsia="新細明體" w:hAnsi="新細明體" w:hint="eastAsia"/>
                <w:sz w:val="32"/>
                <w:szCs w:val="32"/>
              </w:rPr>
              <w:t>，</w:t>
            </w:r>
            <w:r w:rsidRPr="00CB4ACD">
              <w:rPr>
                <w:rFonts w:hint="eastAsia"/>
                <w:sz w:val="32"/>
                <w:szCs w:val="32"/>
              </w:rPr>
              <w:t>函轉銓敍部審定其資遣年資及給與。</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各機關資遣人員，應填具資遣事實表，檢同退撫新制實施前之任職證件及其他相關證明文件，交由各主管機關依前項規定函轉銓敍部審定資遣年資及給與。</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各機關資遣人員未依前項規定辦理者，應由服務機關代為填具資遣事實表，檢同相關證明文件，交由各主管機關函轉銓敍部審定。</w:t>
            </w:r>
          </w:p>
        </w:tc>
      </w:tr>
      <w:tr w:rsidR="00583B5D" w:rsidRPr="00CB4ACD">
        <w:tc>
          <w:tcPr>
            <w:tcW w:w="1843" w:type="dxa"/>
          </w:tcPr>
          <w:p w:rsidR="00583B5D" w:rsidRPr="00CB4ACD" w:rsidRDefault="0097492A" w:rsidP="001D7B56">
            <w:pPr>
              <w:pStyle w:val="af0"/>
              <w:spacing w:line="560" w:lineRule="exact"/>
              <w:ind w:left="320" w:hanging="320"/>
              <w:jc w:val="distribute"/>
              <w:rPr>
                <w:rFonts w:hint="eastAsia"/>
                <w:sz w:val="32"/>
                <w:szCs w:val="32"/>
              </w:rPr>
            </w:pPr>
            <w:r w:rsidRPr="00CB4ACD">
              <w:rPr>
                <w:rFonts w:hint="eastAsia"/>
                <w:sz w:val="32"/>
                <w:szCs w:val="32"/>
              </w:rPr>
              <w:t>第三十六條</w:t>
            </w:r>
          </w:p>
        </w:tc>
        <w:tc>
          <w:tcPr>
            <w:tcW w:w="7653" w:type="dxa"/>
            <w:shd w:val="clear" w:color="auto" w:fill="auto"/>
          </w:tcPr>
          <w:p w:rsidR="00583B5D" w:rsidRPr="00CB4ACD" w:rsidRDefault="00583B5D" w:rsidP="0097492A">
            <w:pPr>
              <w:pStyle w:val="af0"/>
              <w:spacing w:line="560" w:lineRule="exact"/>
              <w:ind w:left="0" w:firstLineChars="200" w:firstLine="640"/>
              <w:rPr>
                <w:sz w:val="32"/>
                <w:szCs w:val="32"/>
              </w:rPr>
            </w:pPr>
            <w:r w:rsidRPr="00CB4ACD">
              <w:rPr>
                <w:rFonts w:hint="eastAsia"/>
                <w:sz w:val="32"/>
                <w:szCs w:val="32"/>
              </w:rPr>
              <w:t>本法第十八條第四項第一款及第三款所定亡故退休人員之配偶因身心障礙而無工作能力，或已成年子女因身心障礙而無謀生能力者，申請月撫慰金時，應經鑑定符合中央衛生主管機關所定身心障礙等級為重度以上之等級，並出具其於退休人員亡故前一年度年終所得申報資料，證明其平均每月所得未超過退休人員亡故當年法定基本工資。</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本法第十八條第四項第一款所定配偶領取月撫慰</w:t>
            </w:r>
            <w:r w:rsidRPr="00CB4ACD">
              <w:rPr>
                <w:rFonts w:hint="eastAsia"/>
                <w:sz w:val="32"/>
                <w:szCs w:val="32"/>
              </w:rPr>
              <w:lastRenderedPageBreak/>
              <w:t>金之年齡及婚姻存續關係，依戶籍記載認定之。</w:t>
            </w:r>
          </w:p>
        </w:tc>
      </w:tr>
    </w:tbl>
    <w:p w:rsidR="00C77AD2" w:rsidRPr="00CB4ACD" w:rsidRDefault="00C77AD2" w:rsidP="00480C41">
      <w:pPr>
        <w:spacing w:before="72" w:after="72"/>
        <w:rPr>
          <w:rFonts w:hint="eastAsia"/>
        </w:rPr>
      </w:pPr>
    </w:p>
    <w:p w:rsidR="00DC50B1" w:rsidRPr="00CB4ACD" w:rsidRDefault="00DC50B1" w:rsidP="00480C41">
      <w:pPr>
        <w:spacing w:before="72" w:after="72"/>
        <w:sectPr w:rsidR="00DC50B1" w:rsidRPr="00CB4ACD" w:rsidSect="00014E42">
          <w:footerReference w:type="default" r:id="rId7"/>
          <w:footerReference w:type="first" r:id="rId8"/>
          <w:type w:val="oddPage"/>
          <w:pgSz w:w="11907" w:h="16839" w:code="9"/>
          <w:pgMar w:top="1418" w:right="1418" w:bottom="1418" w:left="1418" w:header="851" w:footer="992" w:gutter="0"/>
          <w:pgNumType w:start="1"/>
          <w:cols w:space="425"/>
          <w:titlePg/>
          <w:docGrid w:type="lines" w:linePitch="360"/>
        </w:sectPr>
      </w:pPr>
    </w:p>
    <w:p w:rsidR="00BF34B2" w:rsidRPr="00CB4ACD" w:rsidRDefault="00BF34B2" w:rsidP="00BF34B2">
      <w:pPr>
        <w:snapToGrid w:val="0"/>
        <w:spacing w:line="0" w:lineRule="atLeast"/>
        <w:rPr>
          <w:sz w:val="28"/>
          <w:szCs w:val="28"/>
        </w:rPr>
      </w:pPr>
      <w:r w:rsidRPr="00CB4ACD">
        <w:rPr>
          <w:rFonts w:ascii="標楷體" w:eastAsia="標楷體" w:hAnsi="標楷體" w:hint="eastAsia"/>
          <w:sz w:val="28"/>
          <w:szCs w:val="28"/>
        </w:rPr>
        <w:lastRenderedPageBreak/>
        <w:t>附表二　公務人員退休法第三十條第二項及第三項加發補償金計算標準表</w:t>
      </w:r>
    </w:p>
    <w:tbl>
      <w:tblPr>
        <w:tblW w:w="2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45"/>
        <w:gridCol w:w="1800"/>
        <w:gridCol w:w="545"/>
        <w:gridCol w:w="545"/>
        <w:gridCol w:w="545"/>
        <w:gridCol w:w="546"/>
        <w:gridCol w:w="545"/>
        <w:gridCol w:w="545"/>
        <w:gridCol w:w="546"/>
        <w:gridCol w:w="545"/>
        <w:gridCol w:w="545"/>
        <w:gridCol w:w="545"/>
        <w:gridCol w:w="546"/>
        <w:gridCol w:w="545"/>
        <w:gridCol w:w="545"/>
        <w:gridCol w:w="546"/>
        <w:gridCol w:w="545"/>
        <w:gridCol w:w="545"/>
        <w:gridCol w:w="546"/>
        <w:gridCol w:w="545"/>
        <w:gridCol w:w="545"/>
        <w:gridCol w:w="545"/>
        <w:gridCol w:w="546"/>
        <w:gridCol w:w="545"/>
        <w:gridCol w:w="545"/>
        <w:gridCol w:w="546"/>
        <w:gridCol w:w="545"/>
        <w:gridCol w:w="545"/>
        <w:gridCol w:w="545"/>
        <w:gridCol w:w="546"/>
        <w:gridCol w:w="545"/>
        <w:gridCol w:w="545"/>
        <w:gridCol w:w="546"/>
        <w:gridCol w:w="545"/>
        <w:gridCol w:w="545"/>
        <w:gridCol w:w="546"/>
      </w:tblGrid>
      <w:tr w:rsidR="00BF34B2" w:rsidRPr="00CB4ACD">
        <w:trPr>
          <w:trHeight w:val="313"/>
        </w:trPr>
        <w:tc>
          <w:tcPr>
            <w:tcW w:w="2345" w:type="dxa"/>
            <w:gridSpan w:val="2"/>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noProof/>
              </w:rPr>
              <w:pict>
                <v:shapetype id="_x0000_t202" coordsize="21600,21600" o:spt="202" path="m,l,21600r21600,l21600,xe">
                  <v:stroke joinstyle="miter"/>
                  <v:path gradientshapeok="t" o:connecttype="rect"/>
                </v:shapetype>
                <v:shape id="文字方塊 3" o:spid="_x0000_s1028" type="#_x0000_t202" style="position:absolute;left:0;text-align:left;margin-left:65.15pt;margin-top:7.2pt;width:45pt;height:18.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" filled="f" stroked="f">
                  <v:fill opacity="0"/>
                  <v:textbox style="mso-next-textbox:#文字方塊 3" inset="0,0,0,0">
                    <w:txbxContent>
                      <w:p w:rsidR="00714850" w:rsidRPr="00F841C6" w:rsidRDefault="00714850" w:rsidP="00BF34B2">
                        <w:pPr>
                          <w:rPr>
                            <w:rFonts w:ascii="標楷體" w:eastAsia="標楷體" w:hAnsi="標楷體"/>
                            <w:sz w:val="16"/>
                            <w:szCs w:val="16"/>
                          </w:rPr>
                        </w:pPr>
                        <w:r w:rsidRPr="00F841C6">
                          <w:rPr>
                            <w:rFonts w:ascii="標楷體" w:eastAsia="標楷體" w:hAnsi="標楷體" w:hint="eastAsia"/>
                            <w:sz w:val="16"/>
                            <w:szCs w:val="16"/>
                          </w:rPr>
                          <w:t>新制年資</w:t>
                        </w:r>
                      </w:p>
                    </w:txbxContent>
                  </v:textbox>
                </v:shape>
              </w:pict>
            </w:r>
            <w:r w:rsidRPr="00CB4ACD">
              <w:rPr>
                <w:noProof/>
              </w:rPr>
              <w:pict>
                <v:shape id="文字方塊 2" o:spid="_x0000_s1027" type="#_x0000_t202" style="position:absolute;left:0;text-align:left;margin-left:6.65pt;margin-top:16.85pt;width:45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" filled="f" stroked="f">
                  <v:textbox style="mso-next-textbox:#文字方塊 2" inset="0,0,0,0">
                    <w:txbxContent>
                      <w:p w:rsidR="00714850" w:rsidRPr="00F841C6" w:rsidRDefault="00714850" w:rsidP="00BF34B2">
                        <w:pPr>
                          <w:rPr>
                            <w:rFonts w:ascii="標楷體" w:eastAsia="標楷體" w:hAnsi="標楷體"/>
                            <w:sz w:val="16"/>
                            <w:szCs w:val="16"/>
                          </w:rPr>
                        </w:pPr>
                        <w:r w:rsidRPr="00F841C6">
                          <w:rPr>
                            <w:rFonts w:ascii="標楷體" w:eastAsia="標楷體" w:hAnsi="標楷體" w:hint="eastAsia"/>
                            <w:sz w:val="16"/>
                            <w:szCs w:val="16"/>
                          </w:rPr>
                          <w:t>舊制年資</w:t>
                        </w:r>
                      </w:p>
                    </w:txbxContent>
                  </v:textbox>
                </v:shape>
              </w:pict>
            </w:r>
            <w:r w:rsidRPr="00CB4ACD">
              <w:rPr>
                <w:noProof/>
              </w:rPr>
              <w:pict>
                <v:line id="直線接點 1" o:spid="_x0000_s1026" style="position:absolute;left:0;text-align:left;z-index:251657728;visibility:visible" from="-.85pt,1.1pt" to="114.4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" strokeweight=".5pt"/>
              </w:pic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r>
      <w:tr w:rsidR="00BF34B2" w:rsidRPr="00CB4ACD">
        <w:trPr>
          <w:trHeight w:val="172"/>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r>
      <w:tr w:rsidR="00BF34B2" w:rsidRPr="00CB4ACD">
        <w:trPr>
          <w:trHeight w:val="182"/>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6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63"/>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7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6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71"/>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7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68"/>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79"/>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64"/>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76"/>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59"/>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86"/>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5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67"/>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80"/>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64"/>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7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73"/>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58"/>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84"/>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53"/>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8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64"/>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61"/>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74"/>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72"/>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83"/>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54"/>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80"/>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63"/>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7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6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71"/>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7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68"/>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trPr>
          <w:trHeight w:val="179"/>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bl>
    <w:p w:rsidR="00BF34B2" w:rsidRPr="00CB4ACD" w:rsidRDefault="00BF34B2" w:rsidP="00BF34B2">
      <w:pPr>
        <w:tabs>
          <w:tab w:val="right" w:pos="20934"/>
        </w:tabs>
        <w:adjustRightInd w:val="0"/>
        <w:snapToGrid w:val="0"/>
        <w:spacing w:line="0" w:lineRule="atLeast"/>
        <w:rPr>
          <w:rFonts w:ascii="標楷體" w:eastAsia="標楷體" w:hAnsi="標楷體" w:cs="標楷體"/>
        </w:rPr>
      </w:pPr>
      <w:r w:rsidRPr="00CB4ACD">
        <w:rPr>
          <w:rFonts w:ascii="標楷體" w:eastAsia="標楷體" w:hAnsi="標楷體" w:hint="eastAsia"/>
        </w:rPr>
        <w:t>註記：</w:t>
      </w:r>
      <w:r w:rsidRPr="00CB4ACD">
        <w:rPr>
          <w:rFonts w:ascii="標楷體" w:eastAsia="標楷體" w:hAnsi="標楷體" w:cs="標楷體" w:hint="eastAsia"/>
        </w:rPr>
        <w:t>一、本表依公務人員退休法第</w:t>
      </w:r>
      <w:r w:rsidRPr="00CB4ACD">
        <w:rPr>
          <w:rFonts w:ascii="標楷體" w:eastAsia="標楷體" w:hAnsi="標楷體" w:hint="eastAsia"/>
        </w:rPr>
        <w:t>三十條第二項及第三項</w:t>
      </w:r>
      <w:r w:rsidRPr="00CB4ACD">
        <w:rPr>
          <w:rFonts w:ascii="標楷體" w:eastAsia="標楷體" w:hAnsi="標楷體" w:cs="標楷體" w:hint="eastAsia"/>
        </w:rPr>
        <w:t>之規定訂定。</w:t>
      </w:r>
    </w:p>
    <w:p w:rsidR="00BF34B2" w:rsidRPr="00CB4ACD" w:rsidRDefault="00BF34B2" w:rsidP="00BF34B2">
      <w:pPr>
        <w:tabs>
          <w:tab w:val="right" w:pos="20934"/>
        </w:tabs>
        <w:adjustRightInd w:val="0"/>
        <w:snapToGrid w:val="0"/>
        <w:spacing w:line="0" w:lineRule="atLeast"/>
        <w:ind w:firstLineChars="300" w:firstLine="720"/>
        <w:rPr>
          <w:rFonts w:ascii="標楷體" w:eastAsia="標楷體" w:hAnsi="標楷體" w:cs="標楷體"/>
        </w:rPr>
      </w:pPr>
      <w:r w:rsidRPr="00CB4ACD">
        <w:rPr>
          <w:rFonts w:ascii="標楷體" w:eastAsia="標楷體" w:hAnsi="標楷體" w:cs="標楷體" w:hint="eastAsia"/>
        </w:rPr>
        <w:t>二、月補償金併月退休金發放，一次補償金於公務人員退休時一次發給。</w:t>
      </w:r>
    </w:p>
    <w:p w:rsidR="00BF34B2" w:rsidRPr="00CB4ACD" w:rsidRDefault="00BF34B2" w:rsidP="00BF34B2">
      <w:pPr>
        <w:tabs>
          <w:tab w:val="right" w:pos="20934"/>
        </w:tabs>
        <w:adjustRightInd w:val="0"/>
        <w:snapToGrid w:val="0"/>
        <w:spacing w:line="0" w:lineRule="atLeast"/>
        <w:ind w:firstLineChars="300" w:firstLine="720"/>
        <w:rPr>
          <w:rFonts w:ascii="標楷體" w:eastAsia="標楷體" w:hAnsi="標楷體" w:cs="標楷體"/>
        </w:rPr>
      </w:pPr>
      <w:r w:rsidRPr="00CB4ACD">
        <w:rPr>
          <w:rFonts w:ascii="標楷體" w:eastAsia="標楷體" w:hAnsi="標楷體" w:cs="標楷體" w:hint="eastAsia"/>
        </w:rPr>
        <w:t>三、兼領一次退休金與月退休金者，其補償金依其支領比例計算。</w:t>
      </w:r>
    </w:p>
    <w:p w:rsidR="00DC50B1" w:rsidRPr="00CB4ACD" w:rsidRDefault="00DC50B1" w:rsidP="00480C41">
      <w:pPr>
        <w:spacing w:before="72" w:after="72"/>
      </w:pPr>
    </w:p>
    <w:sectPr w:rsidR="00DC50B1" w:rsidRPr="00CB4ACD" w:rsidSect="00BF34B2">
      <w:type w:val="oddPage"/>
      <w:pgSz w:w="23814" w:h="16839" w:orient="landscape" w:code="8"/>
      <w:pgMar w:top="1418" w:right="1418" w:bottom="1418" w:left="1418"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F09" w:rsidRDefault="00BE1F09" w:rsidP="00480C41">
      <w:pPr>
        <w:spacing w:before="48" w:after="48"/>
      </w:pPr>
      <w:r>
        <w:separator/>
      </w:r>
    </w:p>
  </w:endnote>
  <w:endnote w:type="continuationSeparator" w:id="1">
    <w:p w:rsidR="00BE1F09" w:rsidRDefault="00BE1F09" w:rsidP="00480C41">
      <w:pPr>
        <w:spacing w:before="48" w:after="48"/>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AD0" w:rsidRDefault="007B4AD0">
    <w:pPr>
      <w:pStyle w:val="a5"/>
      <w:jc w:val="center"/>
    </w:pPr>
    <w:fldSimple w:instr="PAGE   \* MERGEFORMAT">
      <w:r w:rsidR="00193BF6" w:rsidRPr="00193BF6">
        <w:rPr>
          <w:noProof/>
          <w:lang w:val="zh-TW"/>
        </w:rPr>
        <w:t>6</w:t>
      </w:r>
    </w:fldSimple>
  </w:p>
  <w:p w:rsidR="007B4AD0" w:rsidRDefault="007B4AD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50" w:rsidRDefault="00714850">
    <w:pPr>
      <w:pStyle w:val="a5"/>
      <w:jc w:val="center"/>
    </w:pPr>
    <w:fldSimple w:instr="PAGE   \* MERGEFORMAT">
      <w:r w:rsidR="00193BF6" w:rsidRPr="00193BF6">
        <w:rPr>
          <w:noProof/>
          <w:lang w:val="zh-TW"/>
        </w:rPr>
        <w:t>1</w:t>
      </w:r>
    </w:fldSimple>
  </w:p>
  <w:p w:rsidR="00714850" w:rsidRDefault="007148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F09" w:rsidRDefault="00BE1F09" w:rsidP="00480C41">
      <w:pPr>
        <w:spacing w:before="48" w:after="48"/>
      </w:pPr>
      <w:r>
        <w:separator/>
      </w:r>
    </w:p>
  </w:footnote>
  <w:footnote w:type="continuationSeparator" w:id="1">
    <w:p w:rsidR="00BE1F09" w:rsidRDefault="00BE1F09" w:rsidP="00480C41">
      <w:pPr>
        <w:spacing w:before="48" w:after="48"/>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10B3"/>
    <w:multiLevelType w:val="hybridMultilevel"/>
    <w:tmpl w:val="0E30B7F8"/>
    <w:lvl w:ilvl="0" w:tplc="25E065A6">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
    <w:nsid w:val="26C056AC"/>
    <w:multiLevelType w:val="hybridMultilevel"/>
    <w:tmpl w:val="F6FCBE60"/>
    <w:lvl w:ilvl="0" w:tplc="C5086BBE">
      <w:start w:val="1"/>
      <w:numFmt w:val="taiwaneseCountingThousand"/>
      <w:lvlText w:val="%1、"/>
      <w:lvlJc w:val="left"/>
      <w:pPr>
        <w:ind w:left="480" w:hanging="504"/>
      </w:pPr>
      <w:rPr>
        <w:rFonts w:ascii="標楷體" w:eastAsia="標楷體" w:hAnsi="標楷體"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2">
    <w:nsid w:val="593D4006"/>
    <w:multiLevelType w:val="hybridMultilevel"/>
    <w:tmpl w:val="225C6E84"/>
    <w:lvl w:ilvl="0" w:tplc="498E37A0">
      <w:start w:val="1"/>
      <w:numFmt w:val="taiwaneseCountingThousand"/>
      <w:lvlText w:val="%1、"/>
      <w:lvlJc w:val="left"/>
      <w:pPr>
        <w:ind w:left="1190" w:hanging="480"/>
      </w:pPr>
      <w:rPr>
        <w:rFonts w:ascii="標楷體" w:eastAsia="標楷體" w:hAnsi="標楷體"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DA25B0D"/>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4">
    <w:nsid w:val="60514736"/>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5">
    <w:nsid w:val="6260534A"/>
    <w:multiLevelType w:val="hybridMultilevel"/>
    <w:tmpl w:val="AD6810FC"/>
    <w:lvl w:ilvl="0" w:tplc="F760A6EE">
      <w:start w:val="1"/>
      <w:numFmt w:val="taiwaneseCountingThousand"/>
      <w:lvlText w:val="%1、"/>
      <w:lvlJc w:val="left"/>
      <w:pPr>
        <w:ind w:left="456" w:hanging="480"/>
      </w:pPr>
      <w:rPr>
        <w:rFonts w:ascii="標楷體" w:eastAsia="標楷體" w:hAnsi="標楷體" w:hint="eastAsia"/>
        <w:sz w:val="24"/>
        <w:szCs w:val="24"/>
      </w:rPr>
    </w:lvl>
    <w:lvl w:ilvl="1" w:tplc="02B4F1B6">
      <w:start w:val="1"/>
      <w:numFmt w:val="taiwaneseCountingThousand"/>
      <w:lvlText w:val="(%2)"/>
      <w:lvlJc w:val="left"/>
      <w:pPr>
        <w:ind w:left="932" w:hanging="476"/>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6">
    <w:nsid w:val="79B4411C"/>
    <w:multiLevelType w:val="hybridMultilevel"/>
    <w:tmpl w:val="6492C21A"/>
    <w:lvl w:ilvl="0" w:tplc="D0946722">
      <w:start w:val="1"/>
      <w:numFmt w:val="taiwaneseCountingThousand"/>
      <w:lvlText w:val="%1、"/>
      <w:lvlJc w:val="left"/>
      <w:pPr>
        <w:ind w:left="496" w:hanging="520"/>
      </w:pPr>
      <w:rPr>
        <w:rFonts w:hint="default"/>
      </w:rPr>
    </w:lvl>
    <w:lvl w:ilvl="1" w:tplc="10F86C3A">
      <w:start w:val="1"/>
      <w:numFmt w:val="decimal"/>
      <w:lvlText w:val="%2."/>
      <w:lvlJc w:val="left"/>
      <w:pPr>
        <w:ind w:left="816" w:hanging="360"/>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1E00"/>
    <w:rsid w:val="00005A70"/>
    <w:rsid w:val="00006CEC"/>
    <w:rsid w:val="00010470"/>
    <w:rsid w:val="00012797"/>
    <w:rsid w:val="00013C05"/>
    <w:rsid w:val="00014E42"/>
    <w:rsid w:val="0002445A"/>
    <w:rsid w:val="000252C0"/>
    <w:rsid w:val="00034EA7"/>
    <w:rsid w:val="000366CE"/>
    <w:rsid w:val="00041F6E"/>
    <w:rsid w:val="00066A14"/>
    <w:rsid w:val="00071CAD"/>
    <w:rsid w:val="000A4335"/>
    <w:rsid w:val="000A5A93"/>
    <w:rsid w:val="000A5AA8"/>
    <w:rsid w:val="000B0A72"/>
    <w:rsid w:val="000B2AEF"/>
    <w:rsid w:val="000C65D7"/>
    <w:rsid w:val="000D1243"/>
    <w:rsid w:val="000D1770"/>
    <w:rsid w:val="000D20E6"/>
    <w:rsid w:val="000D59ED"/>
    <w:rsid w:val="000E1AD2"/>
    <w:rsid w:val="000E39A1"/>
    <w:rsid w:val="000E4BA9"/>
    <w:rsid w:val="000F125C"/>
    <w:rsid w:val="0012001F"/>
    <w:rsid w:val="001227C3"/>
    <w:rsid w:val="00122C20"/>
    <w:rsid w:val="00126184"/>
    <w:rsid w:val="00126EAF"/>
    <w:rsid w:val="00144271"/>
    <w:rsid w:val="00146269"/>
    <w:rsid w:val="00151A47"/>
    <w:rsid w:val="00153C29"/>
    <w:rsid w:val="00167A9F"/>
    <w:rsid w:val="00184D4A"/>
    <w:rsid w:val="001938F0"/>
    <w:rsid w:val="00193BF6"/>
    <w:rsid w:val="001A3B68"/>
    <w:rsid w:val="001B10B2"/>
    <w:rsid w:val="001B3FD6"/>
    <w:rsid w:val="001D1FED"/>
    <w:rsid w:val="001D488B"/>
    <w:rsid w:val="001D7860"/>
    <w:rsid w:val="001D7B56"/>
    <w:rsid w:val="001E5627"/>
    <w:rsid w:val="001E5C95"/>
    <w:rsid w:val="001E790F"/>
    <w:rsid w:val="001F2088"/>
    <w:rsid w:val="001F581D"/>
    <w:rsid w:val="002058D3"/>
    <w:rsid w:val="00206456"/>
    <w:rsid w:val="0021295B"/>
    <w:rsid w:val="002169E4"/>
    <w:rsid w:val="00216D49"/>
    <w:rsid w:val="00221406"/>
    <w:rsid w:val="00223606"/>
    <w:rsid w:val="002350F3"/>
    <w:rsid w:val="002517E1"/>
    <w:rsid w:val="002711DE"/>
    <w:rsid w:val="00271E2A"/>
    <w:rsid w:val="00273645"/>
    <w:rsid w:val="00273C88"/>
    <w:rsid w:val="0027763C"/>
    <w:rsid w:val="00282567"/>
    <w:rsid w:val="00286244"/>
    <w:rsid w:val="00287E57"/>
    <w:rsid w:val="00296CF8"/>
    <w:rsid w:val="002A149F"/>
    <w:rsid w:val="002A347F"/>
    <w:rsid w:val="002A509B"/>
    <w:rsid w:val="002B6BD8"/>
    <w:rsid w:val="002C0C3D"/>
    <w:rsid w:val="002C3D20"/>
    <w:rsid w:val="002E2361"/>
    <w:rsid w:val="002E29ED"/>
    <w:rsid w:val="002F2B1E"/>
    <w:rsid w:val="002F56C7"/>
    <w:rsid w:val="003172C2"/>
    <w:rsid w:val="00322B0D"/>
    <w:rsid w:val="003238FE"/>
    <w:rsid w:val="0032661A"/>
    <w:rsid w:val="00327D41"/>
    <w:rsid w:val="00331C39"/>
    <w:rsid w:val="003344D5"/>
    <w:rsid w:val="00334542"/>
    <w:rsid w:val="003353B2"/>
    <w:rsid w:val="003410A2"/>
    <w:rsid w:val="00345196"/>
    <w:rsid w:val="003513BB"/>
    <w:rsid w:val="00361CCA"/>
    <w:rsid w:val="00365C81"/>
    <w:rsid w:val="00367F2D"/>
    <w:rsid w:val="00371E74"/>
    <w:rsid w:val="00374E0B"/>
    <w:rsid w:val="00376DFF"/>
    <w:rsid w:val="00377B63"/>
    <w:rsid w:val="003801D1"/>
    <w:rsid w:val="00382BBE"/>
    <w:rsid w:val="00384140"/>
    <w:rsid w:val="00394EAB"/>
    <w:rsid w:val="003958CF"/>
    <w:rsid w:val="00396C2A"/>
    <w:rsid w:val="00397209"/>
    <w:rsid w:val="003B543D"/>
    <w:rsid w:val="003C37BD"/>
    <w:rsid w:val="003C7456"/>
    <w:rsid w:val="003D1CE3"/>
    <w:rsid w:val="003D4374"/>
    <w:rsid w:val="003D4D43"/>
    <w:rsid w:val="003D5914"/>
    <w:rsid w:val="003E0429"/>
    <w:rsid w:val="003E0658"/>
    <w:rsid w:val="003E0874"/>
    <w:rsid w:val="003F37C3"/>
    <w:rsid w:val="003F3E02"/>
    <w:rsid w:val="003F5C25"/>
    <w:rsid w:val="003F6BDD"/>
    <w:rsid w:val="00412F4F"/>
    <w:rsid w:val="00414CED"/>
    <w:rsid w:val="0043452D"/>
    <w:rsid w:val="00435DB7"/>
    <w:rsid w:val="00444C5F"/>
    <w:rsid w:val="00444C7C"/>
    <w:rsid w:val="00452597"/>
    <w:rsid w:val="004552BA"/>
    <w:rsid w:val="004555B1"/>
    <w:rsid w:val="00463B01"/>
    <w:rsid w:val="0046422B"/>
    <w:rsid w:val="00466284"/>
    <w:rsid w:val="00474FD0"/>
    <w:rsid w:val="00477D2D"/>
    <w:rsid w:val="00480C41"/>
    <w:rsid w:val="004A2643"/>
    <w:rsid w:val="004A28EC"/>
    <w:rsid w:val="004A4EA8"/>
    <w:rsid w:val="004B16FC"/>
    <w:rsid w:val="004B7D5D"/>
    <w:rsid w:val="004B7D84"/>
    <w:rsid w:val="004C6E05"/>
    <w:rsid w:val="004D3415"/>
    <w:rsid w:val="004D3909"/>
    <w:rsid w:val="004D554C"/>
    <w:rsid w:val="004D75FD"/>
    <w:rsid w:val="004E2271"/>
    <w:rsid w:val="004E7C4D"/>
    <w:rsid w:val="00501830"/>
    <w:rsid w:val="005018FB"/>
    <w:rsid w:val="00506482"/>
    <w:rsid w:val="00510258"/>
    <w:rsid w:val="005139DF"/>
    <w:rsid w:val="0052014A"/>
    <w:rsid w:val="00520B4B"/>
    <w:rsid w:val="005258BC"/>
    <w:rsid w:val="00530781"/>
    <w:rsid w:val="0053386B"/>
    <w:rsid w:val="0053646E"/>
    <w:rsid w:val="00545C07"/>
    <w:rsid w:val="00560EFA"/>
    <w:rsid w:val="005613FA"/>
    <w:rsid w:val="005625DE"/>
    <w:rsid w:val="0056499A"/>
    <w:rsid w:val="00564D60"/>
    <w:rsid w:val="00576AEC"/>
    <w:rsid w:val="0058196E"/>
    <w:rsid w:val="00583B5D"/>
    <w:rsid w:val="005A136B"/>
    <w:rsid w:val="005B1AB9"/>
    <w:rsid w:val="005C169A"/>
    <w:rsid w:val="005C5FB7"/>
    <w:rsid w:val="005D04FA"/>
    <w:rsid w:val="005D188C"/>
    <w:rsid w:val="005D23F5"/>
    <w:rsid w:val="005D6DE8"/>
    <w:rsid w:val="005F3611"/>
    <w:rsid w:val="005F691C"/>
    <w:rsid w:val="00615C2B"/>
    <w:rsid w:val="00617358"/>
    <w:rsid w:val="00624E9A"/>
    <w:rsid w:val="00625CB8"/>
    <w:rsid w:val="00626465"/>
    <w:rsid w:val="006319ED"/>
    <w:rsid w:val="0063576B"/>
    <w:rsid w:val="006366ED"/>
    <w:rsid w:val="00654912"/>
    <w:rsid w:val="00654A60"/>
    <w:rsid w:val="00664855"/>
    <w:rsid w:val="00677942"/>
    <w:rsid w:val="006805E8"/>
    <w:rsid w:val="00681CF2"/>
    <w:rsid w:val="00693781"/>
    <w:rsid w:val="006969AC"/>
    <w:rsid w:val="006A2FEB"/>
    <w:rsid w:val="006A5C39"/>
    <w:rsid w:val="006C2595"/>
    <w:rsid w:val="006E11F9"/>
    <w:rsid w:val="006E3360"/>
    <w:rsid w:val="006E7B4F"/>
    <w:rsid w:val="00700561"/>
    <w:rsid w:val="00700F0D"/>
    <w:rsid w:val="00706753"/>
    <w:rsid w:val="0070685A"/>
    <w:rsid w:val="00714850"/>
    <w:rsid w:val="00714A5A"/>
    <w:rsid w:val="00724996"/>
    <w:rsid w:val="007314DD"/>
    <w:rsid w:val="00732ACD"/>
    <w:rsid w:val="0073572A"/>
    <w:rsid w:val="0075023B"/>
    <w:rsid w:val="00750605"/>
    <w:rsid w:val="00754995"/>
    <w:rsid w:val="00754AC6"/>
    <w:rsid w:val="00754D38"/>
    <w:rsid w:val="00756981"/>
    <w:rsid w:val="00763DB5"/>
    <w:rsid w:val="00785DD1"/>
    <w:rsid w:val="00794AE5"/>
    <w:rsid w:val="007A006F"/>
    <w:rsid w:val="007A1612"/>
    <w:rsid w:val="007A7161"/>
    <w:rsid w:val="007B23DA"/>
    <w:rsid w:val="007B2DF9"/>
    <w:rsid w:val="007B3F67"/>
    <w:rsid w:val="007B4AD0"/>
    <w:rsid w:val="007C79E0"/>
    <w:rsid w:val="007D5734"/>
    <w:rsid w:val="007E39B5"/>
    <w:rsid w:val="007F25D6"/>
    <w:rsid w:val="008019B8"/>
    <w:rsid w:val="00801E1D"/>
    <w:rsid w:val="00802CC0"/>
    <w:rsid w:val="00817A07"/>
    <w:rsid w:val="00822C50"/>
    <w:rsid w:val="008326B7"/>
    <w:rsid w:val="00833F4D"/>
    <w:rsid w:val="00833FCC"/>
    <w:rsid w:val="00837E9F"/>
    <w:rsid w:val="008428F1"/>
    <w:rsid w:val="008433F4"/>
    <w:rsid w:val="00845B46"/>
    <w:rsid w:val="00853E0D"/>
    <w:rsid w:val="00861B3A"/>
    <w:rsid w:val="008634A1"/>
    <w:rsid w:val="00870DDF"/>
    <w:rsid w:val="00891A6C"/>
    <w:rsid w:val="0089255A"/>
    <w:rsid w:val="00892783"/>
    <w:rsid w:val="008A626C"/>
    <w:rsid w:val="008A6816"/>
    <w:rsid w:val="008B028C"/>
    <w:rsid w:val="008C0A49"/>
    <w:rsid w:val="008C2309"/>
    <w:rsid w:val="008C73C6"/>
    <w:rsid w:val="008C7C95"/>
    <w:rsid w:val="008D0F72"/>
    <w:rsid w:val="008D65FA"/>
    <w:rsid w:val="008E187E"/>
    <w:rsid w:val="008E57BD"/>
    <w:rsid w:val="008F0715"/>
    <w:rsid w:val="0090205B"/>
    <w:rsid w:val="00902282"/>
    <w:rsid w:val="0090459A"/>
    <w:rsid w:val="00904CB4"/>
    <w:rsid w:val="00905059"/>
    <w:rsid w:val="0091099C"/>
    <w:rsid w:val="0091204D"/>
    <w:rsid w:val="00915C33"/>
    <w:rsid w:val="0092774F"/>
    <w:rsid w:val="00941CC1"/>
    <w:rsid w:val="009529C8"/>
    <w:rsid w:val="0095586D"/>
    <w:rsid w:val="009577C6"/>
    <w:rsid w:val="0096019B"/>
    <w:rsid w:val="0096581A"/>
    <w:rsid w:val="00967E7D"/>
    <w:rsid w:val="00971DA4"/>
    <w:rsid w:val="0097273C"/>
    <w:rsid w:val="0097492A"/>
    <w:rsid w:val="00977BC4"/>
    <w:rsid w:val="00980FD4"/>
    <w:rsid w:val="00986F22"/>
    <w:rsid w:val="0099388A"/>
    <w:rsid w:val="009A1020"/>
    <w:rsid w:val="009A578D"/>
    <w:rsid w:val="009A7A09"/>
    <w:rsid w:val="009B052F"/>
    <w:rsid w:val="009B1513"/>
    <w:rsid w:val="009B2271"/>
    <w:rsid w:val="009B228E"/>
    <w:rsid w:val="009B36CA"/>
    <w:rsid w:val="009C3FEA"/>
    <w:rsid w:val="009C4AA2"/>
    <w:rsid w:val="009D2B12"/>
    <w:rsid w:val="009D3077"/>
    <w:rsid w:val="009D5D6D"/>
    <w:rsid w:val="009F2259"/>
    <w:rsid w:val="009F4EEF"/>
    <w:rsid w:val="00A14D71"/>
    <w:rsid w:val="00A151AA"/>
    <w:rsid w:val="00A17643"/>
    <w:rsid w:val="00A17E23"/>
    <w:rsid w:val="00A40581"/>
    <w:rsid w:val="00A40CEF"/>
    <w:rsid w:val="00A43078"/>
    <w:rsid w:val="00A453A5"/>
    <w:rsid w:val="00A472A2"/>
    <w:rsid w:val="00A4772E"/>
    <w:rsid w:val="00A55B83"/>
    <w:rsid w:val="00A57B1D"/>
    <w:rsid w:val="00A6365D"/>
    <w:rsid w:val="00A645C1"/>
    <w:rsid w:val="00A7003B"/>
    <w:rsid w:val="00A70E88"/>
    <w:rsid w:val="00A8366C"/>
    <w:rsid w:val="00A93514"/>
    <w:rsid w:val="00AA0E25"/>
    <w:rsid w:val="00AA4BE4"/>
    <w:rsid w:val="00AB33C4"/>
    <w:rsid w:val="00AB5E12"/>
    <w:rsid w:val="00AB644B"/>
    <w:rsid w:val="00AB7DBB"/>
    <w:rsid w:val="00AC1D2F"/>
    <w:rsid w:val="00AC2517"/>
    <w:rsid w:val="00AC5D98"/>
    <w:rsid w:val="00AD0CF5"/>
    <w:rsid w:val="00AD0F39"/>
    <w:rsid w:val="00AD4842"/>
    <w:rsid w:val="00AE1E00"/>
    <w:rsid w:val="00AE5297"/>
    <w:rsid w:val="00AF100A"/>
    <w:rsid w:val="00AF445F"/>
    <w:rsid w:val="00B11721"/>
    <w:rsid w:val="00B14B30"/>
    <w:rsid w:val="00B34648"/>
    <w:rsid w:val="00B36560"/>
    <w:rsid w:val="00B41F22"/>
    <w:rsid w:val="00B56E1E"/>
    <w:rsid w:val="00B60942"/>
    <w:rsid w:val="00B60E36"/>
    <w:rsid w:val="00B6388E"/>
    <w:rsid w:val="00B70A61"/>
    <w:rsid w:val="00B84CAE"/>
    <w:rsid w:val="00B87138"/>
    <w:rsid w:val="00B910A5"/>
    <w:rsid w:val="00B96FAB"/>
    <w:rsid w:val="00BA3203"/>
    <w:rsid w:val="00BA486E"/>
    <w:rsid w:val="00BA6427"/>
    <w:rsid w:val="00BB0D23"/>
    <w:rsid w:val="00BC258C"/>
    <w:rsid w:val="00BD244C"/>
    <w:rsid w:val="00BD2506"/>
    <w:rsid w:val="00BD48D1"/>
    <w:rsid w:val="00BE1F09"/>
    <w:rsid w:val="00BE3D75"/>
    <w:rsid w:val="00BE7971"/>
    <w:rsid w:val="00BF0AB5"/>
    <w:rsid w:val="00BF34B2"/>
    <w:rsid w:val="00BF5B7C"/>
    <w:rsid w:val="00C03DE6"/>
    <w:rsid w:val="00C179A3"/>
    <w:rsid w:val="00C273D3"/>
    <w:rsid w:val="00C315C6"/>
    <w:rsid w:val="00C41FE1"/>
    <w:rsid w:val="00C45559"/>
    <w:rsid w:val="00C51330"/>
    <w:rsid w:val="00C53FE0"/>
    <w:rsid w:val="00C55E6D"/>
    <w:rsid w:val="00C62FA2"/>
    <w:rsid w:val="00C65E1D"/>
    <w:rsid w:val="00C70BD9"/>
    <w:rsid w:val="00C71982"/>
    <w:rsid w:val="00C72C91"/>
    <w:rsid w:val="00C77AD2"/>
    <w:rsid w:val="00C81FB5"/>
    <w:rsid w:val="00C92449"/>
    <w:rsid w:val="00CA5D82"/>
    <w:rsid w:val="00CA6EA2"/>
    <w:rsid w:val="00CB4ACD"/>
    <w:rsid w:val="00CB7A2B"/>
    <w:rsid w:val="00CB7AC9"/>
    <w:rsid w:val="00CC55B7"/>
    <w:rsid w:val="00CD538B"/>
    <w:rsid w:val="00CD5DF9"/>
    <w:rsid w:val="00CE3618"/>
    <w:rsid w:val="00CE46BD"/>
    <w:rsid w:val="00D0553E"/>
    <w:rsid w:val="00D05BEE"/>
    <w:rsid w:val="00D1052E"/>
    <w:rsid w:val="00D15F62"/>
    <w:rsid w:val="00D2004E"/>
    <w:rsid w:val="00D25690"/>
    <w:rsid w:val="00D27B5B"/>
    <w:rsid w:val="00D3538E"/>
    <w:rsid w:val="00D353D9"/>
    <w:rsid w:val="00D37717"/>
    <w:rsid w:val="00D41A83"/>
    <w:rsid w:val="00D41F2F"/>
    <w:rsid w:val="00D43EB8"/>
    <w:rsid w:val="00D44F69"/>
    <w:rsid w:val="00D561B9"/>
    <w:rsid w:val="00D671BA"/>
    <w:rsid w:val="00D83D57"/>
    <w:rsid w:val="00DB4444"/>
    <w:rsid w:val="00DC4E8C"/>
    <w:rsid w:val="00DC50B1"/>
    <w:rsid w:val="00DE005E"/>
    <w:rsid w:val="00DE23CE"/>
    <w:rsid w:val="00DF0153"/>
    <w:rsid w:val="00DF0A12"/>
    <w:rsid w:val="00DF26C4"/>
    <w:rsid w:val="00DF55ED"/>
    <w:rsid w:val="00DF5E25"/>
    <w:rsid w:val="00E0330B"/>
    <w:rsid w:val="00E07D33"/>
    <w:rsid w:val="00E13046"/>
    <w:rsid w:val="00E14FB2"/>
    <w:rsid w:val="00E173F8"/>
    <w:rsid w:val="00E26135"/>
    <w:rsid w:val="00E34E2C"/>
    <w:rsid w:val="00E37D9B"/>
    <w:rsid w:val="00E42FB4"/>
    <w:rsid w:val="00E43BEE"/>
    <w:rsid w:val="00E53C0B"/>
    <w:rsid w:val="00E6081F"/>
    <w:rsid w:val="00E6622A"/>
    <w:rsid w:val="00E6686F"/>
    <w:rsid w:val="00E6697D"/>
    <w:rsid w:val="00E87058"/>
    <w:rsid w:val="00E9523C"/>
    <w:rsid w:val="00EA1AE9"/>
    <w:rsid w:val="00EA7335"/>
    <w:rsid w:val="00EE501C"/>
    <w:rsid w:val="00EE7CE5"/>
    <w:rsid w:val="00EF3C20"/>
    <w:rsid w:val="00EF5E9B"/>
    <w:rsid w:val="00F070D0"/>
    <w:rsid w:val="00F109A1"/>
    <w:rsid w:val="00F12F38"/>
    <w:rsid w:val="00F1392A"/>
    <w:rsid w:val="00F14A3B"/>
    <w:rsid w:val="00F24E41"/>
    <w:rsid w:val="00F250D4"/>
    <w:rsid w:val="00F3146F"/>
    <w:rsid w:val="00F322B9"/>
    <w:rsid w:val="00F32C1B"/>
    <w:rsid w:val="00F36D11"/>
    <w:rsid w:val="00F4107C"/>
    <w:rsid w:val="00F47760"/>
    <w:rsid w:val="00F516FE"/>
    <w:rsid w:val="00F54837"/>
    <w:rsid w:val="00F75817"/>
    <w:rsid w:val="00F7680E"/>
    <w:rsid w:val="00F83C4E"/>
    <w:rsid w:val="00F87C08"/>
    <w:rsid w:val="00F91659"/>
    <w:rsid w:val="00FA5388"/>
    <w:rsid w:val="00FB191F"/>
    <w:rsid w:val="00FB5BBB"/>
    <w:rsid w:val="00FD2FB5"/>
    <w:rsid w:val="00FD7EF2"/>
    <w:rsid w:val="00FE2067"/>
    <w:rsid w:val="00FE52D4"/>
    <w:rsid w:val="00FE61CE"/>
    <w:rsid w:val="00FF44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4"/>
      <w:szCs w:val="22"/>
    </w:rPr>
  </w:style>
  <w:style w:type="paragraph" w:styleId="1">
    <w:name w:val="heading 1"/>
    <w:basedOn w:val="a"/>
    <w:next w:val="a"/>
    <w:link w:val="10"/>
    <w:uiPriority w:val="9"/>
    <w:qFormat/>
    <w:rsid w:val="008433F4"/>
    <w:pPr>
      <w:keepNext/>
      <w:spacing w:before="180" w:after="180" w:line="600" w:lineRule="exact"/>
      <w:jc w:val="both"/>
      <w:outlineLvl w:val="0"/>
    </w:pPr>
    <w:rPr>
      <w:rFonts w:ascii="Cambria" w:eastAsia="標楷體" w:hAnsi="Cambria"/>
      <w:b/>
      <w:bCs/>
      <w:kern w:val="52"/>
      <w:sz w:val="32"/>
      <w:szCs w:val="5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A6427"/>
    <w:pPr>
      <w:tabs>
        <w:tab w:val="center" w:pos="4153"/>
        <w:tab w:val="right" w:pos="8306"/>
      </w:tabs>
      <w:snapToGrid w:val="0"/>
    </w:pPr>
    <w:rPr>
      <w:sz w:val="20"/>
      <w:szCs w:val="20"/>
    </w:rPr>
  </w:style>
  <w:style w:type="character" w:customStyle="1" w:styleId="a4">
    <w:name w:val="頁首 字元"/>
    <w:link w:val="a3"/>
    <w:rsid w:val="00BA6427"/>
    <w:rPr>
      <w:kern w:val="2"/>
    </w:rPr>
  </w:style>
  <w:style w:type="paragraph" w:styleId="a5">
    <w:name w:val="footer"/>
    <w:basedOn w:val="a"/>
    <w:link w:val="a6"/>
    <w:uiPriority w:val="99"/>
    <w:unhideWhenUsed/>
    <w:rsid w:val="00BA6427"/>
    <w:pPr>
      <w:tabs>
        <w:tab w:val="center" w:pos="4153"/>
        <w:tab w:val="right" w:pos="8306"/>
      </w:tabs>
      <w:snapToGrid w:val="0"/>
    </w:pPr>
    <w:rPr>
      <w:sz w:val="20"/>
      <w:szCs w:val="20"/>
    </w:rPr>
  </w:style>
  <w:style w:type="character" w:customStyle="1" w:styleId="a6">
    <w:name w:val="頁尾 字元"/>
    <w:link w:val="a5"/>
    <w:uiPriority w:val="99"/>
    <w:rsid w:val="00BA6427"/>
    <w:rPr>
      <w:kern w:val="2"/>
    </w:rPr>
  </w:style>
  <w:style w:type="character" w:styleId="a7">
    <w:name w:val="annotation reference"/>
    <w:uiPriority w:val="99"/>
    <w:semiHidden/>
    <w:unhideWhenUsed/>
    <w:rsid w:val="0092774F"/>
    <w:rPr>
      <w:sz w:val="18"/>
      <w:szCs w:val="18"/>
    </w:rPr>
  </w:style>
  <w:style w:type="paragraph" w:styleId="a8">
    <w:name w:val="annotation text"/>
    <w:basedOn w:val="a"/>
    <w:link w:val="a9"/>
    <w:uiPriority w:val="99"/>
    <w:semiHidden/>
    <w:unhideWhenUsed/>
    <w:rsid w:val="0092774F"/>
  </w:style>
  <w:style w:type="character" w:customStyle="1" w:styleId="a9">
    <w:name w:val="註解文字 字元"/>
    <w:link w:val="a8"/>
    <w:uiPriority w:val="99"/>
    <w:semiHidden/>
    <w:rsid w:val="0092774F"/>
    <w:rPr>
      <w:kern w:val="2"/>
      <w:sz w:val="24"/>
      <w:szCs w:val="22"/>
    </w:rPr>
  </w:style>
  <w:style w:type="paragraph" w:styleId="aa">
    <w:name w:val="annotation subject"/>
    <w:basedOn w:val="a8"/>
    <w:next w:val="a8"/>
    <w:link w:val="ab"/>
    <w:uiPriority w:val="99"/>
    <w:semiHidden/>
    <w:unhideWhenUsed/>
    <w:rsid w:val="0092774F"/>
    <w:rPr>
      <w:b/>
      <w:bCs/>
    </w:rPr>
  </w:style>
  <w:style w:type="character" w:customStyle="1" w:styleId="ab">
    <w:name w:val="註解主旨 字元"/>
    <w:link w:val="aa"/>
    <w:uiPriority w:val="99"/>
    <w:semiHidden/>
    <w:rsid w:val="0092774F"/>
    <w:rPr>
      <w:b/>
      <w:bCs/>
      <w:kern w:val="2"/>
      <w:sz w:val="24"/>
      <w:szCs w:val="22"/>
    </w:rPr>
  </w:style>
  <w:style w:type="paragraph" w:styleId="ac">
    <w:name w:val="Balloon Text"/>
    <w:basedOn w:val="a"/>
    <w:link w:val="ad"/>
    <w:semiHidden/>
    <w:unhideWhenUsed/>
    <w:rsid w:val="0092774F"/>
    <w:rPr>
      <w:rFonts w:ascii="Cambria" w:hAnsi="Cambria"/>
      <w:sz w:val="18"/>
      <w:szCs w:val="18"/>
    </w:rPr>
  </w:style>
  <w:style w:type="character" w:customStyle="1" w:styleId="ad">
    <w:name w:val="註解方塊文字 字元"/>
    <w:link w:val="ac"/>
    <w:uiPriority w:val="99"/>
    <w:semiHidden/>
    <w:rsid w:val="0092774F"/>
    <w:rPr>
      <w:rFonts w:ascii="Cambria" w:eastAsia="新細明體" w:hAnsi="Cambria" w:cs="Times New Roman"/>
      <w:kern w:val="2"/>
      <w:sz w:val="18"/>
      <w:szCs w:val="18"/>
    </w:rPr>
  </w:style>
  <w:style w:type="paragraph" w:customStyle="1" w:styleId="11">
    <w:name w:val=" 字元 字元1"/>
    <w:basedOn w:val="a"/>
    <w:rsid w:val="001D1FED"/>
    <w:pPr>
      <w:spacing w:after="160" w:line="240" w:lineRule="exact"/>
    </w:pPr>
    <w:rPr>
      <w:rFonts w:ascii="Tahoma" w:hAnsi="Tahoma"/>
      <w:kern w:val="0"/>
      <w:sz w:val="20"/>
      <w:szCs w:val="20"/>
      <w:lang w:eastAsia="en-US"/>
    </w:rPr>
  </w:style>
  <w:style w:type="paragraph" w:customStyle="1" w:styleId="ae">
    <w:name w:val="目次用標題"/>
    <w:basedOn w:val="a"/>
    <w:qFormat/>
    <w:rsid w:val="00273645"/>
    <w:pPr>
      <w:spacing w:line="560" w:lineRule="exact"/>
    </w:pPr>
    <w:rPr>
      <w:rFonts w:ascii="標楷體" w:eastAsia="標楷體" w:hAnsi="標楷體"/>
      <w:b/>
      <w:sz w:val="32"/>
      <w:szCs w:val="32"/>
    </w:rPr>
  </w:style>
  <w:style w:type="character" w:styleId="af">
    <w:name w:val="page number"/>
    <w:rsid w:val="00E42FB4"/>
  </w:style>
  <w:style w:type="paragraph" w:customStyle="1" w:styleId="af0">
    <w:name w:val="第一項"/>
    <w:basedOn w:val="a"/>
    <w:rsid w:val="00E42FB4"/>
    <w:pPr>
      <w:overflowPunct w:val="0"/>
      <w:spacing w:line="320" w:lineRule="exact"/>
      <w:ind w:left="240" w:hangingChars="100" w:hanging="240"/>
      <w:jc w:val="both"/>
    </w:pPr>
    <w:rPr>
      <w:rFonts w:ascii="Tahoma" w:eastAsia="標楷體" w:hAnsi="Tahoma"/>
      <w:kern w:val="0"/>
      <w:szCs w:val="20"/>
    </w:rPr>
  </w:style>
  <w:style w:type="paragraph" w:customStyle="1" w:styleId="af1">
    <w:name w:val="第二項"/>
    <w:basedOn w:val="a"/>
    <w:qFormat/>
    <w:rsid w:val="00E42FB4"/>
    <w:pPr>
      <w:overflowPunct w:val="0"/>
      <w:adjustRightInd w:val="0"/>
      <w:snapToGrid w:val="0"/>
      <w:ind w:leftChars="100" w:left="240" w:firstLineChars="200" w:firstLine="480"/>
      <w:jc w:val="both"/>
    </w:pPr>
    <w:rPr>
      <w:rFonts w:ascii="Tahoma" w:eastAsia="標楷體" w:hAnsi="Tahoma"/>
      <w:kern w:val="0"/>
      <w:szCs w:val="20"/>
    </w:rPr>
  </w:style>
  <w:style w:type="paragraph" w:customStyle="1" w:styleId="af2">
    <w:name w:val="款"/>
    <w:basedOn w:val="a"/>
    <w:qFormat/>
    <w:rsid w:val="00E42FB4"/>
    <w:pPr>
      <w:overflowPunct w:val="0"/>
      <w:adjustRightInd w:val="0"/>
      <w:snapToGrid w:val="0"/>
      <w:ind w:leftChars="100" w:left="744" w:hangingChars="210" w:hanging="504"/>
      <w:jc w:val="both"/>
    </w:pPr>
    <w:rPr>
      <w:rFonts w:ascii="標楷體" w:eastAsia="標楷體" w:hAnsi="新細明體"/>
      <w:szCs w:val="24"/>
      <w:u w:val="single"/>
    </w:rPr>
  </w:style>
  <w:style w:type="paragraph" w:styleId="af3">
    <w:name w:val="List Paragraph"/>
    <w:basedOn w:val="a"/>
    <w:uiPriority w:val="34"/>
    <w:qFormat/>
    <w:rsid w:val="00E42FB4"/>
    <w:pPr>
      <w:ind w:leftChars="200" w:left="480"/>
    </w:pPr>
    <w:rPr>
      <w:rFonts w:ascii="Times New Roman" w:hAnsi="Times New Roman"/>
      <w:szCs w:val="24"/>
    </w:rPr>
  </w:style>
  <w:style w:type="character" w:customStyle="1" w:styleId="10">
    <w:name w:val="標題 1 字元"/>
    <w:link w:val="1"/>
    <w:uiPriority w:val="9"/>
    <w:rsid w:val="008433F4"/>
    <w:rPr>
      <w:rFonts w:ascii="Cambria" w:eastAsia="標楷體" w:hAnsi="Cambria"/>
      <w:b/>
      <w:bCs/>
      <w:kern w:val="52"/>
      <w:sz w:val="32"/>
      <w:szCs w:val="52"/>
    </w:rPr>
  </w:style>
  <w:style w:type="paragraph" w:styleId="HTML">
    <w:name w:val="HTML Preformatted"/>
    <w:basedOn w:val="a"/>
    <w:link w:val="HTML0"/>
    <w:rsid w:val="000B2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0B2AEF"/>
    <w:rPr>
      <w:rFonts w:ascii="細明體" w:eastAsia="細明體" w:hAnsi="細明體" w:cs="細明體"/>
      <w:sz w:val="24"/>
      <w:szCs w:val="24"/>
    </w:rPr>
  </w:style>
  <w:style w:type="character" w:styleId="af4">
    <w:name w:val="Hyperlink"/>
    <w:uiPriority w:val="99"/>
    <w:unhideWhenUsed/>
    <w:rsid w:val="001F2088"/>
    <w:rPr>
      <w:color w:val="0000FF"/>
      <w:u w:val="single"/>
    </w:rPr>
  </w:style>
  <w:style w:type="paragraph" w:styleId="12">
    <w:name w:val="toc 1"/>
    <w:basedOn w:val="a"/>
    <w:next w:val="a"/>
    <w:autoRedefine/>
    <w:uiPriority w:val="39"/>
    <w:unhideWhenUsed/>
    <w:rsid w:val="008E57BD"/>
    <w:pPr>
      <w:tabs>
        <w:tab w:val="right" w:leader="dot" w:pos="8861"/>
      </w:tabs>
      <w:spacing w:beforeLines="50" w:line="560" w:lineRule="exact"/>
      <w:ind w:leftChars="235" w:left="564" w:rightChars="240" w:right="576" w:firstLine="1"/>
      <w:jc w:val="both"/>
    </w:pPr>
    <w:rPr>
      <w:rFonts w:eastAsia="標楷體"/>
      <w:sz w:val="32"/>
    </w:rPr>
  </w:style>
  <w:style w:type="table" w:styleId="af5">
    <w:name w:val="Table Grid"/>
    <w:basedOn w:val="a1"/>
    <w:rsid w:val="00BF34B2"/>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字元 字元1"/>
    <w:basedOn w:val="a"/>
    <w:rsid w:val="00BF34B2"/>
    <w:pPr>
      <w:spacing w:after="160" w:line="240" w:lineRule="exact"/>
    </w:pPr>
    <w:rPr>
      <w:rFonts w:ascii="Tahoma" w:hAnsi="Tahoma"/>
      <w:kern w:val="0"/>
      <w:sz w:val="20"/>
      <w:szCs w:val="20"/>
      <w:lang w:eastAsia="en-US"/>
    </w:rPr>
  </w:style>
  <w:style w:type="paragraph" w:customStyle="1" w:styleId="af6">
    <w:name w:val="字元 字元"/>
    <w:basedOn w:val="a"/>
    <w:semiHidden/>
    <w:rsid w:val="00BF34B2"/>
    <w:pPr>
      <w:spacing w:after="160" w:line="240" w:lineRule="exact"/>
    </w:pPr>
    <w:rPr>
      <w:rFonts w:ascii="Tahoma" w:hAnsi="Tahoma" w:cs="Tahoma"/>
      <w:kern w:val="0"/>
      <w:sz w:val="20"/>
      <w:szCs w:val="20"/>
      <w:lang w:eastAsia="en-US"/>
    </w:rPr>
  </w:style>
  <w:style w:type="character" w:customStyle="1" w:styleId="redtxt1">
    <w:name w:val="red_txt1"/>
    <w:rsid w:val="00BF34B2"/>
    <w:rPr>
      <w:strike w:val="0"/>
      <w:dstrike w:val="0"/>
      <w:color w:val="FF0000"/>
      <w:u w:val="none"/>
      <w:effect w:val="none"/>
    </w:rPr>
  </w:style>
  <w:style w:type="paragraph" w:styleId="af7">
    <w:name w:val="Plain Text"/>
    <w:basedOn w:val="a"/>
    <w:link w:val="af8"/>
    <w:rsid w:val="00BF34B2"/>
    <w:pPr>
      <w:widowControl w:val="0"/>
    </w:pPr>
    <w:rPr>
      <w:rFonts w:ascii="細明體" w:eastAsia="細明體" w:hAnsi="Courier New" w:cs="Courier New"/>
      <w:szCs w:val="24"/>
    </w:rPr>
  </w:style>
  <w:style w:type="character" w:customStyle="1" w:styleId="af8">
    <w:name w:val="純文字 字元"/>
    <w:link w:val="af7"/>
    <w:rsid w:val="00BF34B2"/>
    <w:rPr>
      <w:rFonts w:ascii="細明體" w:eastAsia="細明體" w:hAnsi="Courier New" w:cs="Courier New"/>
      <w:kern w:val="2"/>
      <w:sz w:val="24"/>
      <w:szCs w:val="24"/>
    </w:rPr>
  </w:style>
  <w:style w:type="paragraph" w:customStyle="1" w:styleId="af9">
    <w:name w:val="a"/>
    <w:basedOn w:val="a"/>
    <w:rsid w:val="00BF34B2"/>
    <w:pPr>
      <w:spacing w:before="100" w:beforeAutospacing="1" w:after="100" w:afterAutospacing="1"/>
    </w:pPr>
    <w:rPr>
      <w:rFonts w:ascii="新細明體" w:hAnsi="新細明體" w:cs="新細明體"/>
      <w:kern w:val="0"/>
      <w:szCs w:val="24"/>
    </w:rPr>
  </w:style>
  <w:style w:type="paragraph" w:customStyle="1" w:styleId="afa">
    <w:name w:val="一"/>
    <w:basedOn w:val="a"/>
    <w:rsid w:val="00BF34B2"/>
    <w:pPr>
      <w:widowControl w:val="0"/>
      <w:tabs>
        <w:tab w:val="left" w:pos="8160"/>
      </w:tabs>
      <w:spacing w:before="120" w:line="240" w:lineRule="atLeast"/>
      <w:ind w:left="573" w:hanging="573"/>
      <w:jc w:val="both"/>
    </w:pPr>
    <w:rPr>
      <w:rFonts w:ascii="標楷體" w:eastAsia="標楷體" w:hAnsi="Courier New"/>
      <w:szCs w:val="20"/>
    </w:rPr>
  </w:style>
  <w:style w:type="paragraph" w:customStyle="1" w:styleId="afb">
    <w:name w:val="(一)"/>
    <w:basedOn w:val="af7"/>
    <w:rsid w:val="00BF34B2"/>
    <w:pPr>
      <w:ind w:left="1176" w:hanging="588"/>
      <w:jc w:val="both"/>
    </w:pPr>
    <w:rPr>
      <w:rFonts w:ascii="標楷體" w:eastAsia="標楷體" w:cs="Times New Roman"/>
      <w:szCs w:val="20"/>
    </w:rPr>
  </w:style>
  <w:style w:type="paragraph" w:customStyle="1" w:styleId="afc">
    <w:name w:val="發文日期"/>
    <w:basedOn w:val="a"/>
    <w:rsid w:val="00BF34B2"/>
    <w:pPr>
      <w:widowControl w:val="0"/>
      <w:adjustRightInd w:val="0"/>
      <w:snapToGrid w:val="0"/>
      <w:spacing w:beforeLines="60" w:line="300" w:lineRule="exact"/>
    </w:pPr>
    <w:rPr>
      <w:rFonts w:ascii="標楷體" w:eastAsia="標楷體" w:hAnsi="標楷體"/>
      <w:szCs w:val="20"/>
    </w:rPr>
  </w:style>
  <w:style w:type="paragraph" w:customStyle="1" w:styleId="afd">
    <w:name w:val="字元 字元 字元 字元 字元"/>
    <w:basedOn w:val="a"/>
    <w:rsid w:val="00BF34B2"/>
    <w:pPr>
      <w:spacing w:after="160" w:line="240" w:lineRule="exact"/>
    </w:pPr>
    <w:rPr>
      <w:rFonts w:ascii="Tahoma" w:hAnsi="Tahoma"/>
      <w:kern w:val="0"/>
      <w:sz w:val="20"/>
      <w:szCs w:val="20"/>
      <w:lang w:eastAsia="en-US"/>
    </w:rPr>
  </w:style>
  <w:style w:type="paragraph" w:customStyle="1" w:styleId="14">
    <w:name w:val="字元 字元 字元 字元 字元1"/>
    <w:basedOn w:val="a"/>
    <w:semiHidden/>
    <w:rsid w:val="00BF34B2"/>
    <w:pPr>
      <w:spacing w:after="160" w:line="240" w:lineRule="exact"/>
    </w:pPr>
    <w:rPr>
      <w:rFonts w:ascii="Tahoma" w:hAnsi="Tahoma" w:cs="Tahoma"/>
      <w:kern w:val="0"/>
      <w:sz w:val="20"/>
      <w:szCs w:val="20"/>
      <w:lang w:eastAsia="en-US"/>
    </w:rPr>
  </w:style>
  <w:style w:type="paragraph" w:customStyle="1" w:styleId="15">
    <w:name w:val="1"/>
    <w:basedOn w:val="a"/>
    <w:semiHidden/>
    <w:rsid w:val="00BF34B2"/>
    <w:pPr>
      <w:spacing w:after="160" w:line="240" w:lineRule="exact"/>
    </w:pPr>
    <w:rPr>
      <w:rFonts w:ascii="Tahoma" w:hAnsi="Tahoma" w:cs="Tahoma"/>
      <w:kern w:val="0"/>
      <w:sz w:val="20"/>
      <w:szCs w:val="20"/>
      <w:lang w:eastAsia="en-US"/>
    </w:rPr>
  </w:style>
  <w:style w:type="paragraph" w:customStyle="1" w:styleId="afe">
    <w:name w:val="字元 字元 字元"/>
    <w:basedOn w:val="a"/>
    <w:semiHidden/>
    <w:rsid w:val="00BF34B2"/>
    <w:pPr>
      <w:spacing w:after="160" w:line="240" w:lineRule="exact"/>
    </w:pPr>
    <w:rPr>
      <w:rFonts w:ascii="Tahoma" w:hAnsi="Tahoma" w:cs="Tahoma"/>
      <w:kern w:val="0"/>
      <w:sz w:val="20"/>
      <w:szCs w:val="20"/>
      <w:lang w:eastAsia="en-US"/>
    </w:rPr>
  </w:style>
  <w:style w:type="character" w:customStyle="1" w:styleId="highlight">
    <w:name w:val="highlight"/>
    <w:rsid w:val="00BF34B2"/>
  </w:style>
  <w:style w:type="paragraph" w:customStyle="1" w:styleId="2">
    <w:name w:val="字元 字元2"/>
    <w:basedOn w:val="a"/>
    <w:rsid w:val="00BF34B2"/>
    <w:pPr>
      <w:spacing w:after="160" w:line="240" w:lineRule="exact"/>
    </w:pPr>
    <w:rPr>
      <w:rFonts w:ascii="Tahoma" w:hAnsi="Tahoma"/>
      <w:kern w:val="0"/>
      <w:sz w:val="20"/>
      <w:szCs w:val="20"/>
      <w:lang w:eastAsia="en-US"/>
    </w:rPr>
  </w:style>
  <w:style w:type="paragraph" w:styleId="aff">
    <w:name w:val="Body Text"/>
    <w:basedOn w:val="a"/>
    <w:link w:val="aff0"/>
    <w:rsid w:val="00BF34B2"/>
    <w:pPr>
      <w:widowControl w:val="0"/>
      <w:jc w:val="both"/>
    </w:pPr>
    <w:rPr>
      <w:rFonts w:ascii="標楷體" w:eastAsia="標楷體" w:hAnsi="Times New Roman"/>
      <w:color w:val="000000"/>
      <w:szCs w:val="24"/>
    </w:rPr>
  </w:style>
  <w:style w:type="character" w:customStyle="1" w:styleId="aff0">
    <w:name w:val="本文 字元"/>
    <w:link w:val="aff"/>
    <w:rsid w:val="00BF34B2"/>
    <w:rPr>
      <w:rFonts w:ascii="標楷體" w:eastAsia="標楷體" w:hAnsi="Times New Roman"/>
      <w:color w:val="000000"/>
      <w:kern w:val="2"/>
      <w:sz w:val="24"/>
      <w:szCs w:val="24"/>
    </w:rPr>
  </w:style>
  <w:style w:type="paragraph" w:customStyle="1" w:styleId="aff1">
    <w:name w:val="說明"/>
    <w:basedOn w:val="a"/>
    <w:rsid w:val="00BF34B2"/>
    <w:pPr>
      <w:widowControl w:val="0"/>
      <w:spacing w:line="640" w:lineRule="exact"/>
      <w:ind w:left="952" w:hanging="952"/>
    </w:pPr>
    <w:rPr>
      <w:rFonts w:ascii="Arial" w:eastAsia="標楷體" w:hAnsi="Arial"/>
      <w:sz w:val="32"/>
      <w:szCs w:val="24"/>
    </w:rPr>
  </w:style>
  <w:style w:type="paragraph" w:customStyle="1" w:styleId="aff2">
    <w:name w:val="字元 字元 字元 字元 字元 字元 字元 字元 字元 字元 字元 字元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3">
    <w:name w:val="全銜"/>
    <w:basedOn w:val="a"/>
    <w:rsid w:val="00BF34B2"/>
    <w:pPr>
      <w:snapToGrid w:val="0"/>
      <w:spacing w:after="120" w:line="460" w:lineRule="exact"/>
      <w:jc w:val="both"/>
    </w:pPr>
    <w:rPr>
      <w:rFonts w:ascii="Times New Roman" w:eastAsia="標楷體" w:hAnsi="Times New Roman"/>
      <w:b/>
      <w:bCs/>
      <w:kern w:val="0"/>
      <w:sz w:val="40"/>
      <w:szCs w:val="24"/>
    </w:rPr>
  </w:style>
  <w:style w:type="paragraph" w:customStyle="1" w:styleId="aff4">
    <w:name w:val="擬辦"/>
    <w:basedOn w:val="a"/>
    <w:rsid w:val="00BF34B2"/>
    <w:pPr>
      <w:widowControl w:val="0"/>
      <w:spacing w:line="500" w:lineRule="exact"/>
    </w:pPr>
    <w:rPr>
      <w:rFonts w:ascii="Arial" w:eastAsia="標楷體" w:hAnsi="Arial"/>
      <w:sz w:val="32"/>
      <w:szCs w:val="24"/>
    </w:rPr>
  </w:style>
  <w:style w:type="paragraph" w:customStyle="1" w:styleId="aff5">
    <w:name w:val="字元 字元 字元 字元 字元 字元 字元 字元 字元 字元"/>
    <w:basedOn w:val="a"/>
    <w:semiHidden/>
    <w:rsid w:val="00BF34B2"/>
    <w:pPr>
      <w:spacing w:after="160" w:line="240" w:lineRule="exact"/>
    </w:pPr>
    <w:rPr>
      <w:rFonts w:ascii="Tahoma" w:hAnsi="Tahoma" w:cs="Tahoma"/>
      <w:kern w:val="0"/>
      <w:sz w:val="20"/>
      <w:szCs w:val="20"/>
      <w:lang w:eastAsia="en-US"/>
    </w:rPr>
  </w:style>
  <w:style w:type="paragraph" w:customStyle="1" w:styleId="aff6">
    <w:name w:val="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20">
    <w:name w:val="字元 字元2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16">
    <w:name w:val="字元 字元1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7">
    <w:name w:val="一般項目符號"/>
    <w:basedOn w:val="a"/>
    <w:next w:val="a"/>
    <w:rsid w:val="00BF34B2"/>
    <w:pPr>
      <w:widowControl w:val="0"/>
      <w:kinsoku w:val="0"/>
      <w:wordWrap w:val="0"/>
      <w:overflowPunct w:val="0"/>
      <w:ind w:leftChars="100" w:left="210" w:firstLineChars="100" w:firstLine="210"/>
      <w:jc w:val="both"/>
      <w:textAlignment w:val="center"/>
    </w:pPr>
    <w:rPr>
      <w:rFonts w:ascii="Times New Roman" w:eastAsia="華康細明體" w:hAnsi="Times New Roman"/>
      <w:noProof/>
      <w:kern w:val="0"/>
      <w:sz w:val="21"/>
      <w:szCs w:val="24"/>
    </w:rPr>
  </w:style>
  <w:style w:type="paragraph" w:customStyle="1" w:styleId="17">
    <w:name w:val="字元 字元1 字元"/>
    <w:basedOn w:val="a"/>
    <w:rsid w:val="00BF34B2"/>
    <w:pPr>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公務人員退休法施行細則部分條文修正條文</dc:title>
  <dc:creator>李佳珍</dc:creator>
  <cp:lastModifiedBy>user</cp:lastModifiedBy>
  <cp:revision>2</cp:revision>
  <cp:lastPrinted>2016-04-01T07:46:00Z</cp:lastPrinted>
  <dcterms:created xsi:type="dcterms:W3CDTF">2016-05-25T02:25:00Z</dcterms:created>
  <dcterms:modified xsi:type="dcterms:W3CDTF">2016-05-25T02:25:00Z</dcterms:modified>
</cp:coreProperties>
</file>